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6B6954" w14:textId="0369F54D" w:rsidR="00B87E41" w:rsidRPr="00670AED" w:rsidRDefault="006D7257" w:rsidP="00B87E41">
      <w:pPr>
        <w:jc w:val="center"/>
        <w:rPr>
          <w:b/>
        </w:rPr>
      </w:pPr>
      <w:r>
        <w:rPr>
          <w:b/>
        </w:rPr>
        <w:t xml:space="preserve"> </w:t>
      </w:r>
      <w:r w:rsidR="00B87E41" w:rsidRPr="00670AED">
        <w:rPr>
          <w:b/>
        </w:rPr>
        <w:t xml:space="preserve">Allianz </w:t>
      </w:r>
      <w:r w:rsidR="001801FD" w:rsidRPr="00D66EFE">
        <w:rPr>
          <w:b/>
        </w:rPr>
        <w:t>p</w:t>
      </w:r>
      <w:r w:rsidR="00B87E41" w:rsidRPr="00670AED">
        <w:rPr>
          <w:b/>
        </w:rPr>
        <w:t xml:space="preserve">re-approved </w:t>
      </w:r>
      <w:r w:rsidR="001801FD" w:rsidRPr="00670AED">
        <w:rPr>
          <w:b/>
        </w:rPr>
        <w:t>email copy requirements</w:t>
      </w:r>
    </w:p>
    <w:p w14:paraId="79032D01" w14:textId="044EEE55" w:rsidR="00CF06BD" w:rsidRPr="00670AED" w:rsidRDefault="00CF06BD" w:rsidP="00CF06BD">
      <w:r w:rsidRPr="00670AED">
        <w:t xml:space="preserve">Attached, you will find email copy that </w:t>
      </w:r>
      <w:proofErr w:type="gramStart"/>
      <w:r w:rsidRPr="00670AED">
        <w:t>has been pre-approved</w:t>
      </w:r>
      <w:proofErr w:type="gramEnd"/>
      <w:r w:rsidRPr="00670AED">
        <w:t xml:space="preserve"> by Allianz Ad Review for your use. You may use this copy to communicate with your financial professionals regarding </w:t>
      </w:r>
      <w:r w:rsidR="00C2279E">
        <w:t>the 9/5/23 FIA product changes</w:t>
      </w:r>
      <w:r w:rsidRPr="00B74B27">
        <w:t xml:space="preserve">. </w:t>
      </w:r>
      <w:r w:rsidRPr="00670AED">
        <w:t>The communication should still be designed in your brand, and should not appear to be coming directly from Allianz Life Insurance Company of North America (Allianz)</w:t>
      </w:r>
      <w:r>
        <w:t xml:space="preserve">, </w:t>
      </w:r>
      <w:r w:rsidRPr="00670AED">
        <w:t xml:space="preserve">e.g., no blue rectangle box at the top of the page, </w:t>
      </w:r>
      <w:proofErr w:type="gramStart"/>
      <w:r w:rsidRPr="00670AED">
        <w:t>blue sky</w:t>
      </w:r>
      <w:proofErr w:type="gramEnd"/>
      <w:r w:rsidRPr="00670AED">
        <w:t xml:space="preserve"> images, etc. </w:t>
      </w:r>
    </w:p>
    <w:p w14:paraId="09E2771A" w14:textId="77777777" w:rsidR="00CF06BD" w:rsidRDefault="00CF06BD" w:rsidP="00CF06BD">
      <w:r>
        <w:t>Below, we have provided requirements for the use of this copy in your email communications.</w:t>
      </w:r>
    </w:p>
    <w:p w14:paraId="4FFFDE1C" w14:textId="77777777" w:rsidR="00CF06BD" w:rsidRDefault="00CF06BD" w:rsidP="00CF06BD">
      <w:pPr>
        <w:numPr>
          <w:ilvl w:val="0"/>
          <w:numId w:val="22"/>
        </w:numPr>
        <w:pBdr>
          <w:top w:val="nil"/>
          <w:left w:val="nil"/>
          <w:bottom w:val="nil"/>
          <w:right w:val="nil"/>
          <w:between w:val="nil"/>
        </w:pBdr>
        <w:spacing w:after="0"/>
        <w:rPr>
          <w:b/>
          <w:color w:val="000000"/>
        </w:rPr>
      </w:pPr>
      <w:r>
        <w:rPr>
          <w:color w:val="000000"/>
        </w:rPr>
        <w:t xml:space="preserve">You must use this copy exactly as given, including any symbols, bolding, italics, underlining, etc., to ensure brand and compliance standards </w:t>
      </w:r>
      <w:proofErr w:type="gramStart"/>
      <w:r>
        <w:rPr>
          <w:color w:val="000000"/>
        </w:rPr>
        <w:t>are met</w:t>
      </w:r>
      <w:proofErr w:type="gramEnd"/>
      <w:r>
        <w:rPr>
          <w:color w:val="000000"/>
        </w:rPr>
        <w:t xml:space="preserve">. </w:t>
      </w:r>
    </w:p>
    <w:p w14:paraId="25F8C4D2" w14:textId="77777777" w:rsidR="00CF06BD" w:rsidRDefault="00CF06BD" w:rsidP="00CF06BD">
      <w:pPr>
        <w:numPr>
          <w:ilvl w:val="0"/>
          <w:numId w:val="22"/>
        </w:numPr>
        <w:pBdr>
          <w:top w:val="nil"/>
          <w:left w:val="nil"/>
          <w:bottom w:val="nil"/>
          <w:right w:val="nil"/>
          <w:between w:val="nil"/>
        </w:pBdr>
        <w:spacing w:after="0"/>
      </w:pPr>
      <w:r>
        <w:rPr>
          <w:color w:val="000000"/>
        </w:rPr>
        <w:t xml:space="preserve">Please pay attention to font size relationships (i.e., all disclosures must maintain the same proportionality and style as the original </w:t>
      </w:r>
      <w:proofErr w:type="spellStart"/>
      <w:r>
        <w:rPr>
          <w:color w:val="000000"/>
        </w:rPr>
        <w:t>templated</w:t>
      </w:r>
      <w:proofErr w:type="spellEnd"/>
      <w:r>
        <w:rPr>
          <w:color w:val="000000"/>
        </w:rPr>
        <w:t xml:space="preserve"> copy). </w:t>
      </w:r>
    </w:p>
    <w:p w14:paraId="53A36E4D" w14:textId="77777777" w:rsidR="00CF06BD" w:rsidRDefault="00CF06BD" w:rsidP="00CF06BD">
      <w:pPr>
        <w:numPr>
          <w:ilvl w:val="1"/>
          <w:numId w:val="22"/>
        </w:numPr>
        <w:pBdr>
          <w:top w:val="nil"/>
          <w:left w:val="nil"/>
          <w:bottom w:val="nil"/>
          <w:right w:val="nil"/>
          <w:between w:val="nil"/>
        </w:pBdr>
        <w:spacing w:after="0"/>
        <w:rPr>
          <w:color w:val="000000"/>
        </w:rPr>
      </w:pPr>
      <w:r>
        <w:rPr>
          <w:color w:val="000000"/>
        </w:rPr>
        <w:t>Please keep a copy for your records.</w:t>
      </w:r>
    </w:p>
    <w:p w14:paraId="3FCB5AC9" w14:textId="77777777" w:rsidR="00CF06BD" w:rsidRPr="00F54237" w:rsidRDefault="00CF06BD" w:rsidP="00CF06BD">
      <w:pPr>
        <w:pBdr>
          <w:top w:val="nil"/>
          <w:left w:val="nil"/>
          <w:bottom w:val="nil"/>
          <w:right w:val="nil"/>
          <w:between w:val="nil"/>
        </w:pBdr>
        <w:spacing w:after="0"/>
        <w:ind w:left="1440"/>
        <w:rPr>
          <w:color w:val="000000"/>
        </w:rPr>
      </w:pPr>
    </w:p>
    <w:p w14:paraId="7766B08D" w14:textId="77777777" w:rsidR="00CF06BD" w:rsidRPr="00670AED" w:rsidRDefault="00CF06BD" w:rsidP="00CF06BD">
      <w:pPr>
        <w:pStyle w:val="ListParagraph"/>
        <w:ind w:left="-90"/>
      </w:pPr>
      <w:r w:rsidRPr="00670AED">
        <w:t xml:space="preserve">If you have any questions or need assistance, please contact us at </w:t>
      </w:r>
      <w:hyperlink r:id="rId6" w:history="1">
        <w:r w:rsidRPr="00670AED">
          <w:rPr>
            <w:rStyle w:val="Hyperlink"/>
          </w:rPr>
          <w:t>Allianz_Ad_Review@allianzlife.com</w:t>
        </w:r>
      </w:hyperlink>
      <w:r w:rsidRPr="00670AED">
        <w:t xml:space="preserve"> or </w:t>
      </w:r>
      <w:hyperlink r:id="rId7" w:history="1">
        <w:r w:rsidRPr="00670AED">
          <w:rPr>
            <w:rStyle w:val="Hyperlink"/>
          </w:rPr>
          <w:t>Distribution_Marketing@allianzlife.com</w:t>
        </w:r>
      </w:hyperlink>
      <w:r w:rsidRPr="00670AED">
        <w:t xml:space="preserve">. </w:t>
      </w:r>
    </w:p>
    <w:p w14:paraId="0D06122A" w14:textId="77777777" w:rsidR="007239B3" w:rsidRPr="00670AED" w:rsidRDefault="007239B3" w:rsidP="007239B3">
      <w:pPr>
        <w:pStyle w:val="ListParagraph"/>
        <w:ind w:left="-90"/>
      </w:pPr>
    </w:p>
    <w:p w14:paraId="3CF392C6" w14:textId="77777777" w:rsidR="007239B3" w:rsidRDefault="007239B3" w:rsidP="007239B3">
      <w:pPr>
        <w:pStyle w:val="ListParagraph"/>
        <w:ind w:left="-90"/>
        <w:rPr>
          <w:b/>
        </w:rPr>
      </w:pPr>
      <w:r w:rsidRPr="00670AED">
        <w:rPr>
          <w:b/>
        </w:rPr>
        <w:t>For use by Allianz Preferred FMOs only.</w:t>
      </w:r>
    </w:p>
    <w:p w14:paraId="5D119938" w14:textId="453CB74D" w:rsidR="00D97E01" w:rsidRPr="00670AED" w:rsidRDefault="00D97E01" w:rsidP="008579C7">
      <w:pPr>
        <w:rPr>
          <w:b/>
        </w:rPr>
      </w:pPr>
    </w:p>
    <w:p w14:paraId="51805B57" w14:textId="4550EC86" w:rsidR="00C07FFB" w:rsidRPr="00670AED" w:rsidRDefault="004638B2" w:rsidP="008579C7">
      <w:pPr>
        <w:rPr>
          <w:rFonts w:cs="Helvetica"/>
          <w:b/>
        </w:rPr>
      </w:pPr>
      <w:r w:rsidRPr="00670AED">
        <w:rPr>
          <w:rFonts w:cs="Helvetica"/>
          <w:b/>
        </w:rPr>
        <w:t>Allianz Life Insurance Company of North America pre-approved email copy for FMO use</w:t>
      </w:r>
    </w:p>
    <w:p w14:paraId="59C420DB" w14:textId="533DD56A" w:rsidR="00FE60D7" w:rsidRPr="00FE60D7" w:rsidRDefault="001855AC" w:rsidP="003A6938">
      <w:pPr>
        <w:rPr>
          <w:rFonts w:cstheme="minorHAnsi"/>
          <w:b/>
          <w:sz w:val="24"/>
          <w:szCs w:val="24"/>
        </w:rPr>
      </w:pPr>
      <w:r w:rsidRPr="00FE60D7">
        <w:rPr>
          <w:rFonts w:cstheme="minorHAnsi"/>
          <w:b/>
          <w:sz w:val="24"/>
          <w:szCs w:val="24"/>
        </w:rPr>
        <w:t>Subject line</w:t>
      </w:r>
      <w:r w:rsidR="002D079D" w:rsidRPr="00FE60D7">
        <w:rPr>
          <w:rFonts w:cstheme="minorHAnsi"/>
          <w:b/>
          <w:sz w:val="24"/>
          <w:szCs w:val="24"/>
        </w:rPr>
        <w:t>:</w:t>
      </w:r>
      <w:r w:rsidR="002D079D" w:rsidRPr="00FE60D7">
        <w:rPr>
          <w:rFonts w:cstheme="minorHAnsi"/>
          <w:sz w:val="24"/>
          <w:szCs w:val="24"/>
        </w:rPr>
        <w:t xml:space="preserve"> </w:t>
      </w:r>
      <w:r w:rsidR="00EC131A" w:rsidRPr="00EC131A">
        <w:rPr>
          <w:rFonts w:cstheme="minorHAnsi"/>
          <w:color w:val="000000" w:themeColor="text1"/>
          <w:sz w:val="24"/>
          <w:szCs w:val="24"/>
        </w:rPr>
        <w:t xml:space="preserve">Allianz </w:t>
      </w:r>
      <w:r w:rsidR="00F76AC2">
        <w:rPr>
          <w:rFonts w:cstheme="minorHAnsi"/>
          <w:color w:val="000000" w:themeColor="text1"/>
          <w:sz w:val="24"/>
          <w:szCs w:val="24"/>
        </w:rPr>
        <w:t>is cranking out positive FIA changes [starting September 5, 2023]</w:t>
      </w:r>
    </w:p>
    <w:p w14:paraId="65023FBB" w14:textId="5AB92C40" w:rsidR="00FE60D7" w:rsidRPr="00FE60D7" w:rsidRDefault="00D01AB3">
      <w:pPr>
        <w:rPr>
          <w:rFonts w:cstheme="minorHAnsi"/>
          <w:b/>
          <w:sz w:val="24"/>
          <w:szCs w:val="24"/>
        </w:rPr>
      </w:pPr>
      <w:r w:rsidRPr="00FE60D7">
        <w:rPr>
          <w:rFonts w:cstheme="minorHAnsi"/>
          <w:b/>
          <w:sz w:val="24"/>
          <w:szCs w:val="24"/>
        </w:rPr>
        <w:t>Subject line 2:</w:t>
      </w:r>
      <w:r w:rsidRPr="00FE60D7">
        <w:rPr>
          <w:rFonts w:cstheme="minorHAnsi"/>
          <w:sz w:val="24"/>
          <w:szCs w:val="24"/>
        </w:rPr>
        <w:t xml:space="preserve"> </w:t>
      </w:r>
      <w:r w:rsidR="00F76AC2">
        <w:rPr>
          <w:rFonts w:cstheme="minorHAnsi"/>
          <w:color w:val="000000" w:themeColor="text1"/>
          <w:sz w:val="24"/>
          <w:szCs w:val="24"/>
        </w:rPr>
        <w:t>BIG Allianz FIA positive changes are here [are coming]</w:t>
      </w:r>
    </w:p>
    <w:p w14:paraId="713670B2" w14:textId="1FB7B0B1" w:rsidR="00456D73" w:rsidRPr="00670AED" w:rsidRDefault="004638B2">
      <w:pPr>
        <w:rPr>
          <w:rFonts w:cs="Helvetica"/>
          <w:b/>
        </w:rPr>
      </w:pPr>
      <w:r w:rsidRPr="00670AED">
        <w:rPr>
          <w:rFonts w:cs="Helvetica"/>
          <w:b/>
        </w:rPr>
        <w:t xml:space="preserve">HEADLINE: </w:t>
      </w:r>
    </w:p>
    <w:p w14:paraId="2C94048C" w14:textId="65FADAC1" w:rsidR="00FE60D7" w:rsidRPr="00FE60D7" w:rsidRDefault="00F76AC2" w:rsidP="00FE60D7">
      <w:pPr>
        <w:rPr>
          <w:rFonts w:cstheme="minorHAnsi"/>
          <w:color w:val="000000" w:themeColor="text1"/>
          <w:sz w:val="28"/>
          <w:szCs w:val="28"/>
        </w:rPr>
      </w:pPr>
      <w:r>
        <w:rPr>
          <w:rFonts w:cstheme="minorHAnsi"/>
          <w:color w:val="000000" w:themeColor="text1"/>
          <w:sz w:val="28"/>
          <w:szCs w:val="28"/>
        </w:rPr>
        <w:t>Turn up the volume</w:t>
      </w:r>
      <w:r w:rsidR="0036676B">
        <w:rPr>
          <w:rFonts w:cstheme="minorHAnsi"/>
          <w:color w:val="000000" w:themeColor="text1"/>
          <w:sz w:val="28"/>
          <w:szCs w:val="28"/>
        </w:rPr>
        <w:t>:</w:t>
      </w:r>
      <w:r>
        <w:rPr>
          <w:rFonts w:cstheme="minorHAnsi"/>
          <w:color w:val="000000" w:themeColor="text1"/>
          <w:sz w:val="28"/>
          <w:szCs w:val="28"/>
        </w:rPr>
        <w:t xml:space="preserve"> Allianz is cranking out positive FIA changes</w:t>
      </w:r>
    </w:p>
    <w:p w14:paraId="7EA1F86E" w14:textId="77777777" w:rsidR="002233C1" w:rsidRPr="00670AED" w:rsidRDefault="002233C1">
      <w:pPr>
        <w:rPr>
          <w:rFonts w:cs="Helvetica"/>
          <w:b/>
          <w:sz w:val="24"/>
          <w:szCs w:val="24"/>
        </w:rPr>
      </w:pPr>
      <w:r w:rsidRPr="00670AED">
        <w:rPr>
          <w:rFonts w:cs="Helvetica"/>
          <w:b/>
          <w:sz w:val="24"/>
          <w:szCs w:val="24"/>
        </w:rPr>
        <w:t xml:space="preserve">COPY: </w:t>
      </w:r>
    </w:p>
    <w:p w14:paraId="411E971A" w14:textId="77777777" w:rsidR="00F76AC2" w:rsidRPr="0022436B" w:rsidRDefault="00F76AC2" w:rsidP="00F76AC2">
      <w:pPr>
        <w:rPr>
          <w:rFonts w:ascii="Calibri" w:eastAsia="Calibri" w:hAnsi="Calibri" w:cs="Calibri"/>
          <w:color w:val="000000"/>
          <w:sz w:val="28"/>
          <w:szCs w:val="28"/>
        </w:rPr>
      </w:pPr>
      <w:r w:rsidRPr="0022436B">
        <w:rPr>
          <w:rFonts w:ascii="Calibri" w:eastAsia="Calibri" w:hAnsi="Calibri" w:cs="Calibri"/>
          <w:b/>
          <w:color w:val="000000"/>
          <w:sz w:val="28"/>
          <w:szCs w:val="28"/>
        </w:rPr>
        <w:t>Allianz 222</w:t>
      </w:r>
      <w:r w:rsidRPr="0022436B">
        <w:rPr>
          <w:rFonts w:ascii="Calibri" w:eastAsia="Calibri" w:hAnsi="Calibri" w:cs="Calibri"/>
          <w:b/>
          <w:color w:val="000000"/>
          <w:sz w:val="28"/>
          <w:szCs w:val="28"/>
          <w:vertAlign w:val="superscript"/>
        </w:rPr>
        <w:t>®</w:t>
      </w:r>
      <w:r w:rsidRPr="0022436B">
        <w:rPr>
          <w:rFonts w:ascii="Calibri" w:eastAsia="Calibri" w:hAnsi="Calibri" w:cs="Calibri"/>
          <w:b/>
          <w:color w:val="000000"/>
          <w:sz w:val="28"/>
          <w:szCs w:val="28"/>
        </w:rPr>
        <w:t xml:space="preserve"> Annuity</w:t>
      </w:r>
      <w:r w:rsidRPr="0022436B">
        <w:rPr>
          <w:rFonts w:ascii="Calibri" w:eastAsia="Calibri" w:hAnsi="Calibri" w:cs="Calibri"/>
          <w:color w:val="000000"/>
          <w:sz w:val="28"/>
          <w:szCs w:val="28"/>
        </w:rPr>
        <w:t xml:space="preserve"> is getting its BIGGEST BONUS EVER</w:t>
      </w:r>
    </w:p>
    <w:p w14:paraId="4929B52B" w14:textId="75B211DE" w:rsidR="00F76AC2" w:rsidRPr="009861C3" w:rsidRDefault="0036676B" w:rsidP="00F76AC2">
      <w:pPr>
        <w:numPr>
          <w:ilvl w:val="0"/>
          <w:numId w:val="24"/>
        </w:numPr>
        <w:spacing w:after="0" w:line="240" w:lineRule="auto"/>
        <w:contextualSpacing/>
        <w:rPr>
          <w:rFonts w:ascii="Calibri" w:eastAsia="Calibri" w:hAnsi="Calibri" w:cs="Calibri"/>
          <w:color w:val="000000"/>
          <w:sz w:val="24"/>
          <w:szCs w:val="24"/>
        </w:rPr>
      </w:pPr>
      <w:r>
        <w:rPr>
          <w:rFonts w:ascii="Calibri" w:eastAsia="Calibri" w:hAnsi="Calibri" w:cs="Calibri"/>
          <w:color w:val="000000"/>
          <w:sz w:val="24"/>
          <w:szCs w:val="24"/>
        </w:rPr>
        <w:t>Increasing P</w:t>
      </w:r>
      <w:r w:rsidR="00F76AC2" w:rsidRPr="009861C3">
        <w:rPr>
          <w:rFonts w:ascii="Calibri" w:eastAsia="Calibri" w:hAnsi="Calibri" w:cs="Calibri"/>
          <w:color w:val="000000"/>
          <w:sz w:val="24"/>
          <w:szCs w:val="24"/>
        </w:rPr>
        <w:t xml:space="preserve">rotected </w:t>
      </w:r>
      <w:r>
        <w:rPr>
          <w:rFonts w:ascii="Calibri" w:eastAsia="Calibri" w:hAnsi="Calibri" w:cs="Calibri"/>
          <w:color w:val="000000"/>
          <w:sz w:val="24"/>
          <w:szCs w:val="24"/>
        </w:rPr>
        <w:t>Income V</w:t>
      </w:r>
      <w:r w:rsidR="00F76AC2" w:rsidRPr="009861C3">
        <w:rPr>
          <w:rFonts w:ascii="Calibri" w:eastAsia="Calibri" w:hAnsi="Calibri" w:cs="Calibri"/>
          <w:color w:val="000000"/>
          <w:sz w:val="24"/>
          <w:szCs w:val="24"/>
        </w:rPr>
        <w:t xml:space="preserve">alue (PIV) premium bonus percentage from 35% to </w:t>
      </w:r>
      <w:r w:rsidR="00F76AC2" w:rsidRPr="009861C3">
        <w:rPr>
          <w:rFonts w:ascii="Calibri" w:eastAsia="Calibri" w:hAnsi="Calibri" w:cs="Calibri"/>
          <w:b/>
          <w:color w:val="000000"/>
          <w:sz w:val="24"/>
          <w:szCs w:val="24"/>
        </w:rPr>
        <w:t>40%</w:t>
      </w:r>
      <w:r w:rsidR="00F76AC2" w:rsidRPr="009861C3">
        <w:rPr>
          <w:rFonts w:ascii="Calibri" w:eastAsia="Calibri" w:hAnsi="Calibri" w:cs="Calibri"/>
          <w:color w:val="000000"/>
          <w:sz w:val="24"/>
          <w:szCs w:val="24"/>
          <w:vertAlign w:val="superscript"/>
        </w:rPr>
        <w:t>1</w:t>
      </w:r>
    </w:p>
    <w:p w14:paraId="60181B12" w14:textId="77777777" w:rsidR="00F76AC2" w:rsidRPr="0022436B" w:rsidRDefault="00F76AC2" w:rsidP="00F76AC2">
      <w:pPr>
        <w:ind w:left="720"/>
        <w:contextualSpacing/>
        <w:rPr>
          <w:rFonts w:ascii="Calibri" w:eastAsia="Calibri" w:hAnsi="Calibri" w:cs="Calibri"/>
          <w:color w:val="000000"/>
        </w:rPr>
      </w:pPr>
    </w:p>
    <w:p w14:paraId="17D36353" w14:textId="15848B55" w:rsidR="00F76AC2" w:rsidRPr="0022436B" w:rsidRDefault="00F76AC2" w:rsidP="00F76AC2">
      <w:pPr>
        <w:rPr>
          <w:rFonts w:ascii="Calibri" w:eastAsia="Calibri" w:hAnsi="Calibri" w:cs="Calibri"/>
          <w:color w:val="000000"/>
          <w:sz w:val="28"/>
          <w:szCs w:val="28"/>
        </w:rPr>
      </w:pPr>
      <w:r w:rsidRPr="0022436B">
        <w:rPr>
          <w:rFonts w:ascii="Calibri" w:eastAsia="Calibri" w:hAnsi="Calibri" w:cs="Calibri"/>
          <w:b/>
          <w:color w:val="000000"/>
          <w:sz w:val="28"/>
          <w:szCs w:val="28"/>
        </w:rPr>
        <w:t>Allianz Accumulation Advantage</w:t>
      </w:r>
      <w:r w:rsidRPr="0022436B">
        <w:rPr>
          <w:rFonts w:ascii="Calibri" w:eastAsia="Calibri" w:hAnsi="Calibri" w:cs="Calibri"/>
          <w:b/>
          <w:color w:val="000000"/>
          <w:sz w:val="28"/>
          <w:szCs w:val="28"/>
          <w:vertAlign w:val="superscript"/>
        </w:rPr>
        <w:t>®</w:t>
      </w:r>
      <w:r w:rsidRPr="0022436B">
        <w:rPr>
          <w:rFonts w:ascii="Calibri" w:eastAsia="Calibri" w:hAnsi="Calibri" w:cs="Calibri"/>
          <w:b/>
          <w:color w:val="000000"/>
          <w:sz w:val="28"/>
          <w:szCs w:val="28"/>
        </w:rPr>
        <w:t xml:space="preserve"> Annuity</w:t>
      </w:r>
      <w:r w:rsidRPr="0022436B">
        <w:rPr>
          <w:rFonts w:ascii="Calibri" w:eastAsia="Calibri" w:hAnsi="Calibri" w:cs="Calibri"/>
          <w:color w:val="000000"/>
          <w:sz w:val="28"/>
          <w:szCs w:val="28"/>
        </w:rPr>
        <w:t xml:space="preserve"> will ENHANCE THE FIXED RATES</w:t>
      </w:r>
    </w:p>
    <w:p w14:paraId="50C4C172" w14:textId="27CF9E05" w:rsidR="00F76AC2" w:rsidRPr="009861C3" w:rsidRDefault="0074739E" w:rsidP="00F76AC2">
      <w:pPr>
        <w:rPr>
          <w:rFonts w:ascii="Calibri" w:eastAsia="Calibri" w:hAnsi="Calibri" w:cs="Calibri"/>
          <w:color w:val="000000"/>
          <w:sz w:val="24"/>
          <w:szCs w:val="24"/>
        </w:rPr>
      </w:pPr>
      <w:r>
        <w:rPr>
          <w:rFonts w:ascii="Calibri" w:eastAsia="Calibri" w:hAnsi="Calibri" w:cs="Calibri"/>
          <w:color w:val="000000"/>
          <w:sz w:val="24"/>
          <w:szCs w:val="24"/>
        </w:rPr>
        <w:t>E</w:t>
      </w:r>
      <w:r w:rsidR="00F76AC2" w:rsidRPr="009861C3">
        <w:rPr>
          <w:rFonts w:ascii="Calibri" w:eastAsia="Calibri" w:hAnsi="Calibri" w:cs="Calibri"/>
          <w:color w:val="000000"/>
          <w:sz w:val="24"/>
          <w:szCs w:val="24"/>
        </w:rPr>
        <w:t xml:space="preserve">nhancing the first year fixed rate by </w:t>
      </w:r>
      <w:r w:rsidR="00F76AC2" w:rsidRPr="009861C3">
        <w:rPr>
          <w:rFonts w:ascii="Calibri" w:eastAsia="Calibri" w:hAnsi="Calibri" w:cs="Calibri"/>
          <w:b/>
          <w:color w:val="000000"/>
          <w:sz w:val="24"/>
          <w:szCs w:val="24"/>
        </w:rPr>
        <w:t>2.5%</w:t>
      </w:r>
      <w:r w:rsidR="00F76AC2" w:rsidRPr="009861C3">
        <w:rPr>
          <w:rFonts w:ascii="Calibri" w:eastAsia="Calibri" w:hAnsi="Calibri" w:cs="Calibri"/>
          <w:color w:val="000000"/>
          <w:sz w:val="24"/>
          <w:szCs w:val="24"/>
        </w:rPr>
        <w:t xml:space="preserve"> over the current base rate.</w:t>
      </w:r>
    </w:p>
    <w:p w14:paraId="273E01FD" w14:textId="77777777" w:rsidR="00F76AC2" w:rsidRPr="009861C3" w:rsidRDefault="00F76AC2" w:rsidP="00F76AC2">
      <w:pPr>
        <w:rPr>
          <w:rFonts w:ascii="Calibri" w:eastAsia="Calibri" w:hAnsi="Calibri" w:cs="Calibri"/>
          <w:color w:val="000000"/>
          <w:sz w:val="24"/>
          <w:szCs w:val="24"/>
        </w:rPr>
      </w:pPr>
      <w:r w:rsidRPr="009861C3">
        <w:rPr>
          <w:rFonts w:ascii="Calibri" w:eastAsia="Calibri" w:hAnsi="Calibri" w:cs="Calibri"/>
          <w:color w:val="000000"/>
          <w:sz w:val="24"/>
          <w:szCs w:val="24"/>
        </w:rPr>
        <w:t>Premium $100,000 and greater</w:t>
      </w:r>
    </w:p>
    <w:p w14:paraId="10DF1D02" w14:textId="77777777" w:rsidR="00F76AC2" w:rsidRPr="009861C3" w:rsidRDefault="00F76AC2" w:rsidP="00F76AC2">
      <w:pPr>
        <w:numPr>
          <w:ilvl w:val="0"/>
          <w:numId w:val="24"/>
        </w:numPr>
        <w:spacing w:after="0" w:line="240" w:lineRule="auto"/>
        <w:contextualSpacing/>
        <w:rPr>
          <w:rFonts w:ascii="Calibri" w:eastAsia="Calibri" w:hAnsi="Calibri" w:cs="Calibri"/>
          <w:color w:val="000000"/>
          <w:sz w:val="24"/>
          <w:szCs w:val="24"/>
        </w:rPr>
      </w:pPr>
      <w:r w:rsidRPr="009861C3">
        <w:rPr>
          <w:rFonts w:ascii="Calibri" w:eastAsia="Calibri" w:hAnsi="Calibri" w:cs="Calibri"/>
          <w:b/>
          <w:color w:val="000000"/>
          <w:sz w:val="24"/>
          <w:szCs w:val="24"/>
        </w:rPr>
        <w:lastRenderedPageBreak/>
        <w:t>7.5%</w:t>
      </w:r>
      <w:r w:rsidRPr="009861C3">
        <w:rPr>
          <w:rFonts w:ascii="Calibri" w:eastAsia="Calibri" w:hAnsi="Calibri" w:cs="Calibri"/>
          <w:color w:val="000000"/>
          <w:sz w:val="24"/>
          <w:szCs w:val="24"/>
        </w:rPr>
        <w:t xml:space="preserve"> enhanced first year fixed rate (5% base rate + 2.5% enhancement), with a </w:t>
      </w:r>
    </w:p>
    <w:p w14:paraId="5A687DE3" w14:textId="77777777" w:rsidR="00F76AC2" w:rsidRPr="009861C3" w:rsidRDefault="00F76AC2" w:rsidP="00F76AC2">
      <w:pPr>
        <w:numPr>
          <w:ilvl w:val="0"/>
          <w:numId w:val="24"/>
        </w:numPr>
        <w:spacing w:after="0" w:line="240" w:lineRule="auto"/>
        <w:contextualSpacing/>
        <w:rPr>
          <w:rFonts w:ascii="Calibri" w:eastAsia="Calibri" w:hAnsi="Calibri" w:cs="Calibri"/>
          <w:color w:val="000000"/>
          <w:sz w:val="24"/>
          <w:szCs w:val="24"/>
        </w:rPr>
      </w:pPr>
      <w:r w:rsidRPr="009861C3">
        <w:rPr>
          <w:rFonts w:ascii="Calibri" w:eastAsia="Calibri" w:hAnsi="Calibri" w:cs="Calibri"/>
          <w:color w:val="000000"/>
          <w:sz w:val="24"/>
          <w:szCs w:val="24"/>
        </w:rPr>
        <w:t>Guaranteed 5% second year fixed rate (base rate)</w:t>
      </w:r>
    </w:p>
    <w:p w14:paraId="75B25516" w14:textId="77777777" w:rsidR="00F76AC2" w:rsidRPr="009861C3" w:rsidRDefault="00F76AC2" w:rsidP="00F76AC2">
      <w:pPr>
        <w:rPr>
          <w:rFonts w:ascii="Calibri" w:eastAsia="Calibri" w:hAnsi="Calibri" w:cs="Calibri"/>
          <w:color w:val="000000"/>
          <w:sz w:val="24"/>
          <w:szCs w:val="24"/>
        </w:rPr>
      </w:pPr>
    </w:p>
    <w:p w14:paraId="55773536" w14:textId="77777777" w:rsidR="00F76AC2" w:rsidRPr="009861C3" w:rsidRDefault="00F76AC2" w:rsidP="00F76AC2">
      <w:pPr>
        <w:rPr>
          <w:rFonts w:ascii="Calibri" w:eastAsia="Calibri" w:hAnsi="Calibri" w:cs="Calibri"/>
          <w:color w:val="000000"/>
          <w:sz w:val="24"/>
          <w:szCs w:val="24"/>
        </w:rPr>
      </w:pPr>
      <w:r w:rsidRPr="009861C3">
        <w:rPr>
          <w:rFonts w:ascii="Calibri" w:eastAsia="Calibri" w:hAnsi="Calibri" w:cs="Calibri"/>
          <w:color w:val="000000"/>
          <w:sz w:val="24"/>
          <w:szCs w:val="24"/>
        </w:rPr>
        <w:t>Premium less than $100,000</w:t>
      </w:r>
    </w:p>
    <w:p w14:paraId="59413B26" w14:textId="3C6EBA71" w:rsidR="00F76AC2" w:rsidRPr="009861C3" w:rsidRDefault="00F76AC2" w:rsidP="00F76AC2">
      <w:pPr>
        <w:numPr>
          <w:ilvl w:val="0"/>
          <w:numId w:val="26"/>
        </w:numPr>
        <w:spacing w:after="0" w:line="240" w:lineRule="auto"/>
        <w:contextualSpacing/>
        <w:rPr>
          <w:rFonts w:ascii="Calibri" w:eastAsia="Calibri" w:hAnsi="Calibri" w:cs="Calibri"/>
          <w:color w:val="000000"/>
          <w:sz w:val="24"/>
          <w:szCs w:val="24"/>
        </w:rPr>
      </w:pPr>
      <w:r w:rsidRPr="009861C3">
        <w:rPr>
          <w:rFonts w:ascii="Calibri" w:eastAsia="Calibri" w:hAnsi="Calibri" w:cs="Calibri"/>
          <w:b/>
          <w:color w:val="000000"/>
          <w:sz w:val="24"/>
          <w:szCs w:val="24"/>
        </w:rPr>
        <w:t>7.0%</w:t>
      </w:r>
      <w:r w:rsidRPr="009861C3">
        <w:rPr>
          <w:rFonts w:ascii="Calibri" w:eastAsia="Calibri" w:hAnsi="Calibri" w:cs="Calibri"/>
          <w:color w:val="000000"/>
          <w:sz w:val="24"/>
          <w:szCs w:val="24"/>
        </w:rPr>
        <w:t xml:space="preserve"> enhanced first year fixed rate (4.5% base rate + 2.5% enhancement), with a </w:t>
      </w:r>
    </w:p>
    <w:p w14:paraId="3686F52D" w14:textId="77777777" w:rsidR="00F76AC2" w:rsidRPr="009861C3" w:rsidRDefault="00F76AC2" w:rsidP="00F76AC2">
      <w:pPr>
        <w:numPr>
          <w:ilvl w:val="0"/>
          <w:numId w:val="26"/>
        </w:numPr>
        <w:spacing w:after="0" w:line="240" w:lineRule="auto"/>
        <w:contextualSpacing/>
        <w:rPr>
          <w:rFonts w:ascii="Calibri" w:eastAsia="Calibri" w:hAnsi="Calibri" w:cs="Calibri"/>
          <w:color w:val="000000"/>
          <w:sz w:val="24"/>
          <w:szCs w:val="24"/>
        </w:rPr>
      </w:pPr>
      <w:r w:rsidRPr="009861C3">
        <w:rPr>
          <w:rFonts w:ascii="Calibri" w:eastAsia="Calibri" w:hAnsi="Calibri" w:cs="Calibri"/>
          <w:color w:val="000000"/>
          <w:sz w:val="24"/>
          <w:szCs w:val="24"/>
        </w:rPr>
        <w:t>Guaranteed 4.5% second year fixed rate (base rate)</w:t>
      </w:r>
    </w:p>
    <w:p w14:paraId="5502E9E8" w14:textId="77777777" w:rsidR="0036676B" w:rsidRDefault="0036676B" w:rsidP="00F76AC2">
      <w:pPr>
        <w:rPr>
          <w:rFonts w:ascii="Calibri" w:eastAsia="Calibri" w:hAnsi="Calibri" w:cs="Calibri"/>
          <w:color w:val="000000"/>
          <w:sz w:val="24"/>
          <w:szCs w:val="24"/>
        </w:rPr>
      </w:pPr>
    </w:p>
    <w:p w14:paraId="14E1F769" w14:textId="18497464" w:rsidR="00F76AC2" w:rsidRPr="009861C3" w:rsidRDefault="00F76AC2" w:rsidP="00F76AC2">
      <w:pPr>
        <w:rPr>
          <w:rFonts w:ascii="Calibri" w:eastAsia="Calibri" w:hAnsi="Calibri"/>
          <w:color w:val="000000"/>
          <w:sz w:val="24"/>
          <w:szCs w:val="24"/>
        </w:rPr>
      </w:pPr>
      <w:r w:rsidRPr="009861C3">
        <w:rPr>
          <w:rFonts w:ascii="Calibri" w:eastAsia="Calibri" w:hAnsi="Calibri"/>
          <w:color w:val="000000"/>
          <w:sz w:val="24"/>
          <w:szCs w:val="24"/>
        </w:rPr>
        <w:t xml:space="preserve">Remember, these rates are effective September 5. New business rates are subject to change each month. </w:t>
      </w:r>
    </w:p>
    <w:p w14:paraId="2EA1E878" w14:textId="2D24F0A7" w:rsidR="00F76AC2" w:rsidRPr="009861C3" w:rsidRDefault="00F76AC2" w:rsidP="00F76AC2">
      <w:pPr>
        <w:rPr>
          <w:rFonts w:ascii="Calibri" w:eastAsia="Calibri" w:hAnsi="Calibri" w:cs="Calibri"/>
          <w:color w:val="000000"/>
          <w:sz w:val="24"/>
          <w:szCs w:val="24"/>
        </w:rPr>
      </w:pPr>
      <w:r w:rsidRPr="009861C3">
        <w:rPr>
          <w:rFonts w:ascii="Calibri" w:eastAsia="Calibri" w:hAnsi="Calibri"/>
          <w:color w:val="000000"/>
          <w:sz w:val="24"/>
          <w:szCs w:val="24"/>
        </w:rPr>
        <w:t xml:space="preserve">After the second year, renewal rates </w:t>
      </w:r>
      <w:proofErr w:type="gramStart"/>
      <w:r w:rsidRPr="009861C3">
        <w:rPr>
          <w:rFonts w:ascii="Calibri" w:eastAsia="Calibri" w:hAnsi="Calibri"/>
          <w:color w:val="000000"/>
          <w:sz w:val="24"/>
          <w:szCs w:val="24"/>
        </w:rPr>
        <w:t>will be declared on the contract anniversary and guaranteed for the f</w:t>
      </w:r>
      <w:r w:rsidR="0074739E">
        <w:rPr>
          <w:rFonts w:ascii="Calibri" w:eastAsia="Calibri" w:hAnsi="Calibri"/>
          <w:color w:val="000000"/>
          <w:sz w:val="24"/>
          <w:szCs w:val="24"/>
        </w:rPr>
        <w:t>ollowing contract year</w:t>
      </w:r>
      <w:proofErr w:type="gramEnd"/>
      <w:r w:rsidR="0074739E">
        <w:rPr>
          <w:rFonts w:ascii="Calibri" w:eastAsia="Calibri" w:hAnsi="Calibri"/>
          <w:color w:val="000000"/>
          <w:sz w:val="24"/>
          <w:szCs w:val="24"/>
        </w:rPr>
        <w:t>. While Allianz</w:t>
      </w:r>
      <w:r w:rsidRPr="009861C3">
        <w:rPr>
          <w:rFonts w:ascii="Calibri" w:eastAsia="Calibri" w:hAnsi="Calibri"/>
          <w:color w:val="000000"/>
          <w:sz w:val="24"/>
          <w:szCs w:val="24"/>
        </w:rPr>
        <w:t xml:space="preserve"> manage</w:t>
      </w:r>
      <w:r w:rsidR="0074739E">
        <w:rPr>
          <w:rFonts w:ascii="Calibri" w:eastAsia="Calibri" w:hAnsi="Calibri"/>
          <w:color w:val="000000"/>
          <w:sz w:val="24"/>
          <w:szCs w:val="24"/>
        </w:rPr>
        <w:t>s</w:t>
      </w:r>
      <w:r w:rsidRPr="009861C3">
        <w:rPr>
          <w:rFonts w:ascii="Calibri" w:eastAsia="Calibri" w:hAnsi="Calibri"/>
          <w:color w:val="000000"/>
          <w:sz w:val="24"/>
          <w:szCs w:val="24"/>
        </w:rPr>
        <w:t xml:space="preserve"> renewal rates </w:t>
      </w:r>
      <w:proofErr w:type="gramStart"/>
      <w:r w:rsidRPr="009861C3">
        <w:rPr>
          <w:rFonts w:ascii="Calibri" w:eastAsia="Calibri" w:hAnsi="Calibri"/>
          <w:color w:val="000000"/>
          <w:sz w:val="24"/>
          <w:szCs w:val="24"/>
        </w:rPr>
        <w:t>off of</w:t>
      </w:r>
      <w:proofErr w:type="gramEnd"/>
      <w:r w:rsidRPr="009861C3">
        <w:rPr>
          <w:rFonts w:ascii="Calibri" w:eastAsia="Calibri" w:hAnsi="Calibri"/>
          <w:color w:val="000000"/>
          <w:sz w:val="24"/>
          <w:szCs w:val="24"/>
        </w:rPr>
        <w:t xml:space="preserve"> the base rate, they may vary from year to year</w:t>
      </w:r>
      <w:r w:rsidRPr="009861C3">
        <w:rPr>
          <w:rFonts w:ascii="Calibri" w:eastAsia="Calibri" w:hAnsi="Calibri" w:cs="Calibri"/>
          <w:color w:val="000000"/>
          <w:sz w:val="24"/>
          <w:szCs w:val="24"/>
        </w:rPr>
        <w:t>.</w:t>
      </w:r>
    </w:p>
    <w:p w14:paraId="4575C715" w14:textId="4719AFBC" w:rsidR="00F76AC2" w:rsidRPr="009861C3" w:rsidRDefault="00F76AC2" w:rsidP="00F76AC2">
      <w:pPr>
        <w:rPr>
          <w:rFonts w:ascii="Calibri" w:eastAsia="Calibri" w:hAnsi="Calibri" w:cs="Calibri"/>
          <w:sz w:val="24"/>
          <w:szCs w:val="24"/>
        </w:rPr>
      </w:pPr>
      <w:r w:rsidRPr="009861C3">
        <w:rPr>
          <w:rFonts w:ascii="Calibri" w:eastAsia="Calibri" w:hAnsi="Calibri" w:cs="Calibri"/>
          <w:color w:val="000000"/>
          <w:sz w:val="24"/>
          <w:szCs w:val="24"/>
        </w:rPr>
        <w:t xml:space="preserve"> </w:t>
      </w:r>
      <w:hyperlink r:id="rId8" w:history="1">
        <w:r w:rsidRPr="009861C3">
          <w:rPr>
            <w:rFonts w:ascii="Calibri" w:eastAsia="Calibri" w:hAnsi="Calibri" w:cs="Calibri"/>
            <w:color w:val="0563C1"/>
            <w:sz w:val="24"/>
            <w:szCs w:val="24"/>
            <w:u w:val="single"/>
          </w:rPr>
          <w:t>Preview Allianz Accumulation Advantage</w:t>
        </w:r>
        <w:r w:rsidRPr="009861C3">
          <w:rPr>
            <w:rFonts w:ascii="Calibri" w:eastAsia="Calibri" w:hAnsi="Calibri" w:cs="Calibri"/>
            <w:color w:val="0563C1"/>
            <w:sz w:val="24"/>
            <w:szCs w:val="24"/>
            <w:u w:val="single"/>
            <w:vertAlign w:val="superscript"/>
          </w:rPr>
          <w:t>®</w:t>
        </w:r>
        <w:r w:rsidRPr="009861C3">
          <w:rPr>
            <w:rFonts w:ascii="Calibri" w:eastAsia="Calibri" w:hAnsi="Calibri" w:cs="Calibri"/>
            <w:color w:val="0563C1"/>
            <w:sz w:val="24"/>
            <w:szCs w:val="24"/>
            <w:u w:val="single"/>
          </w:rPr>
          <w:t xml:space="preserve"> rates here</w:t>
        </w:r>
      </w:hyperlink>
      <w:r w:rsidRPr="009861C3">
        <w:rPr>
          <w:rFonts w:ascii="Calibri" w:eastAsia="Calibri" w:hAnsi="Calibri" w:cs="Calibri"/>
          <w:color w:val="FF0000"/>
          <w:sz w:val="24"/>
          <w:szCs w:val="24"/>
        </w:rPr>
        <w:t xml:space="preserve"> </w:t>
      </w:r>
    </w:p>
    <w:p w14:paraId="484916F4" w14:textId="5C831688" w:rsidR="00F76AC2" w:rsidRPr="0022436B" w:rsidRDefault="00F76AC2" w:rsidP="00F76AC2">
      <w:pPr>
        <w:rPr>
          <w:rFonts w:ascii="Calibri" w:eastAsia="Calibri" w:hAnsi="Calibri" w:cs="Calibri"/>
          <w:color w:val="000000"/>
          <w:sz w:val="28"/>
          <w:szCs w:val="28"/>
        </w:rPr>
      </w:pPr>
      <w:r w:rsidRPr="0022436B">
        <w:rPr>
          <w:rFonts w:ascii="Calibri" w:eastAsia="Calibri" w:hAnsi="Calibri" w:cs="Calibri"/>
          <w:b/>
          <w:color w:val="000000"/>
          <w:sz w:val="28"/>
          <w:szCs w:val="28"/>
        </w:rPr>
        <w:t>Allianz Benefit Control</w:t>
      </w:r>
      <w:r w:rsidRPr="0022436B">
        <w:rPr>
          <w:rFonts w:ascii="Calibri" w:eastAsia="Calibri" w:hAnsi="Calibri" w:cs="Calibri"/>
          <w:b/>
          <w:color w:val="000000"/>
          <w:sz w:val="28"/>
          <w:szCs w:val="28"/>
          <w:vertAlign w:val="superscript"/>
        </w:rPr>
        <w:t xml:space="preserve">® </w:t>
      </w:r>
      <w:r w:rsidRPr="0022436B">
        <w:rPr>
          <w:rFonts w:ascii="Calibri" w:eastAsia="Calibri" w:hAnsi="Calibri" w:cs="Calibri"/>
          <w:b/>
          <w:color w:val="000000"/>
          <w:sz w:val="28"/>
          <w:szCs w:val="28"/>
        </w:rPr>
        <w:t>Annuity</w:t>
      </w:r>
      <w:r w:rsidRPr="0022436B">
        <w:rPr>
          <w:rFonts w:ascii="Calibri" w:eastAsia="Calibri" w:hAnsi="Calibri" w:cs="Calibri"/>
          <w:color w:val="000000"/>
          <w:sz w:val="28"/>
          <w:szCs w:val="28"/>
        </w:rPr>
        <w:t xml:space="preserve"> is getting its HIGHEST </w:t>
      </w:r>
      <w:r w:rsidR="00AB30C1">
        <w:rPr>
          <w:rFonts w:ascii="Calibri" w:eastAsia="Calibri" w:hAnsi="Calibri" w:cs="Calibri"/>
          <w:color w:val="000000"/>
          <w:sz w:val="28"/>
          <w:szCs w:val="28"/>
        </w:rPr>
        <w:t>LIFETIME WITHDRAWAL PAYOUT PERCENTAGES</w:t>
      </w:r>
      <w:r w:rsidRPr="0022436B">
        <w:rPr>
          <w:rFonts w:ascii="Calibri" w:eastAsia="Calibri" w:hAnsi="Calibri" w:cs="Calibri"/>
          <w:color w:val="000000"/>
          <w:sz w:val="28"/>
          <w:szCs w:val="28"/>
        </w:rPr>
        <w:t xml:space="preserve"> EVER </w:t>
      </w:r>
    </w:p>
    <w:p w14:paraId="3702608A" w14:textId="5D2F6536" w:rsidR="00F76AC2" w:rsidRPr="009861C3" w:rsidRDefault="00F76AC2" w:rsidP="00F76AC2">
      <w:pPr>
        <w:numPr>
          <w:ilvl w:val="0"/>
          <w:numId w:val="25"/>
        </w:numPr>
        <w:spacing w:after="0" w:line="240" w:lineRule="auto"/>
        <w:contextualSpacing/>
        <w:rPr>
          <w:rFonts w:ascii="Calibri" w:eastAsia="Calibri" w:hAnsi="Calibri" w:cs="Calibri"/>
          <w:color w:val="000000"/>
          <w:sz w:val="24"/>
          <w:szCs w:val="24"/>
        </w:rPr>
      </w:pPr>
      <w:r w:rsidRPr="009861C3">
        <w:rPr>
          <w:rFonts w:ascii="Calibri" w:eastAsia="Calibri" w:hAnsi="Calibri" w:cs="Calibri"/>
          <w:color w:val="000000"/>
          <w:sz w:val="24"/>
          <w:szCs w:val="24"/>
        </w:rPr>
        <w:t xml:space="preserve">Increasing </w:t>
      </w:r>
      <w:r w:rsidR="00F56A44">
        <w:rPr>
          <w:rFonts w:ascii="Calibri" w:eastAsia="Calibri" w:hAnsi="Calibri" w:cs="Calibri"/>
          <w:color w:val="000000"/>
          <w:sz w:val="24"/>
          <w:szCs w:val="24"/>
        </w:rPr>
        <w:t>lifetime withdrawal payout percentages</w:t>
      </w:r>
      <w:r w:rsidRPr="009861C3">
        <w:rPr>
          <w:rFonts w:ascii="Calibri" w:eastAsia="Calibri" w:hAnsi="Calibri" w:cs="Calibri"/>
          <w:color w:val="000000"/>
          <w:sz w:val="24"/>
          <w:szCs w:val="24"/>
        </w:rPr>
        <w:t xml:space="preserve"> for single and joint life by 10 basis points</w:t>
      </w:r>
      <w:r w:rsidRPr="009861C3">
        <w:rPr>
          <w:rFonts w:ascii="Calibri" w:eastAsia="Calibri" w:hAnsi="Calibri" w:cs="Calibri"/>
          <w:color w:val="FF0000"/>
          <w:sz w:val="24"/>
          <w:szCs w:val="24"/>
        </w:rPr>
        <w:t>]</w:t>
      </w:r>
    </w:p>
    <w:p w14:paraId="7E886D45" w14:textId="77777777" w:rsidR="00F76AC2" w:rsidRPr="009861C3" w:rsidRDefault="00F76AC2" w:rsidP="00F76AC2">
      <w:pPr>
        <w:pStyle w:val="para1"/>
        <w:spacing w:after="0" w:line="240" w:lineRule="auto"/>
        <w:rPr>
          <w:rFonts w:ascii="Arial" w:eastAsiaTheme="minorHAnsi" w:hAnsi="Arial" w:cs="Arial"/>
          <w:color w:val="000000"/>
          <w:sz w:val="24"/>
          <w:szCs w:val="24"/>
        </w:rPr>
      </w:pPr>
    </w:p>
    <w:p w14:paraId="4EA12895" w14:textId="4B41F55C" w:rsidR="00F76AC2" w:rsidRPr="009861C3" w:rsidRDefault="00F76AC2" w:rsidP="00F76AC2">
      <w:pPr>
        <w:pStyle w:val="para1"/>
        <w:spacing w:after="0" w:line="240" w:lineRule="auto"/>
        <w:rPr>
          <w:rFonts w:ascii="Calibri" w:hAnsi="Calibri" w:cs="Calibri"/>
          <w:color w:val="000000"/>
          <w:sz w:val="24"/>
          <w:szCs w:val="24"/>
        </w:rPr>
      </w:pPr>
      <w:r w:rsidRPr="009861C3">
        <w:rPr>
          <w:rFonts w:ascii="Calibri" w:hAnsi="Calibri" w:cs="Calibri"/>
          <w:color w:val="000000"/>
          <w:sz w:val="24"/>
          <w:szCs w:val="24"/>
          <w:shd w:val="clear" w:color="auto" w:fill="FFFFFF"/>
        </w:rPr>
        <w:t>Fixed index annuities</w:t>
      </w:r>
      <w:r w:rsidRPr="009861C3">
        <w:rPr>
          <w:rFonts w:ascii="Calibri" w:hAnsi="Calibri" w:cs="Calibri"/>
          <w:color w:val="000000"/>
          <w:sz w:val="24"/>
          <w:szCs w:val="24"/>
        </w:rPr>
        <w:t xml:space="preserve"> </w:t>
      </w:r>
      <w:proofErr w:type="gramStart"/>
      <w:r w:rsidRPr="009861C3">
        <w:rPr>
          <w:rFonts w:ascii="Calibri" w:hAnsi="Calibri" w:cs="Calibri"/>
          <w:color w:val="000000"/>
          <w:sz w:val="24"/>
          <w:szCs w:val="24"/>
        </w:rPr>
        <w:t>are designed</w:t>
      </w:r>
      <w:proofErr w:type="gramEnd"/>
      <w:r w:rsidRPr="009861C3">
        <w:rPr>
          <w:rFonts w:ascii="Calibri" w:hAnsi="Calibri" w:cs="Calibri"/>
          <w:color w:val="000000"/>
          <w:sz w:val="24"/>
          <w:szCs w:val="24"/>
        </w:rPr>
        <w:t xml:space="preserve"> to meet long-term needs for retirement income. They provide protection from market loss, indexed interest potential, tax deferral, a death benefit during the accumulation phase, and </w:t>
      </w:r>
      <w:r w:rsidR="0036676B">
        <w:rPr>
          <w:rFonts w:ascii="Calibri" w:hAnsi="Calibri" w:cs="Calibri"/>
          <w:color w:val="000000"/>
          <w:sz w:val="24"/>
          <w:szCs w:val="24"/>
        </w:rPr>
        <w:t xml:space="preserve">a </w:t>
      </w:r>
      <w:r w:rsidRPr="009861C3">
        <w:rPr>
          <w:rFonts w:ascii="Calibri" w:hAnsi="Calibri" w:cs="Calibri"/>
          <w:color w:val="000000"/>
          <w:sz w:val="24"/>
          <w:szCs w:val="24"/>
        </w:rPr>
        <w:t xml:space="preserve">guaranteed stream of income. </w:t>
      </w:r>
    </w:p>
    <w:p w14:paraId="179ECAF3" w14:textId="77777777" w:rsidR="00F76AC2" w:rsidRPr="00BC0A28" w:rsidRDefault="00F76AC2" w:rsidP="00F76AC2">
      <w:pPr>
        <w:rPr>
          <w:rFonts w:ascii="Arial" w:hAnsi="Arial" w:cs="Arial"/>
          <w:color w:val="000000"/>
        </w:rPr>
      </w:pPr>
    </w:p>
    <w:p w14:paraId="41DC988E" w14:textId="6CD10A00" w:rsidR="00F76AC2" w:rsidRPr="0069682F" w:rsidRDefault="00F76AC2" w:rsidP="00F76AC2">
      <w:pPr>
        <w:rPr>
          <w:rFonts w:ascii="Calibri" w:eastAsia="Calibri" w:hAnsi="Calibri" w:cs="Calibri"/>
          <w:b/>
          <w:color w:val="000000"/>
          <w:sz w:val="28"/>
          <w:szCs w:val="28"/>
        </w:rPr>
      </w:pPr>
      <w:r w:rsidRPr="00427282">
        <w:rPr>
          <w:rFonts w:ascii="Calibri" w:eastAsia="Calibri" w:hAnsi="Calibri" w:cs="Calibri"/>
          <w:b/>
          <w:color w:val="000000"/>
          <w:sz w:val="28"/>
          <w:szCs w:val="28"/>
        </w:rPr>
        <w:t>September 5 product change business rules</w:t>
      </w:r>
    </w:p>
    <w:p w14:paraId="3FC34F78" w14:textId="6B1E7338" w:rsidR="00547797" w:rsidRDefault="00547797" w:rsidP="00547797">
      <w:pPr>
        <w:spacing w:after="0" w:line="240" w:lineRule="auto"/>
        <w:rPr>
          <w:rFonts w:ascii="Calibri" w:eastAsia="Calibri" w:hAnsi="Calibri" w:cs="Calibri"/>
          <w:sz w:val="24"/>
          <w:szCs w:val="24"/>
        </w:rPr>
      </w:pPr>
      <w:r w:rsidRPr="00547797">
        <w:rPr>
          <w:rFonts w:ascii="Calibri" w:eastAsia="Calibri" w:hAnsi="Calibri" w:cs="Calibri"/>
          <w:sz w:val="24"/>
          <w:szCs w:val="24"/>
        </w:rPr>
        <w:t>Applications received in the Allianz home office on or after Tuesday, September 5, 2023 will automatically receive the post-change version of the product.</w:t>
      </w:r>
    </w:p>
    <w:p w14:paraId="0A371D2A" w14:textId="77777777" w:rsidR="00547797" w:rsidRPr="00547797" w:rsidRDefault="00547797" w:rsidP="00547797">
      <w:pPr>
        <w:spacing w:after="0" w:line="240" w:lineRule="auto"/>
        <w:rPr>
          <w:rFonts w:ascii="Calibri" w:eastAsia="Calibri" w:hAnsi="Calibri" w:cs="Calibri"/>
          <w:sz w:val="24"/>
          <w:szCs w:val="24"/>
        </w:rPr>
      </w:pPr>
    </w:p>
    <w:p w14:paraId="42CC8CDB" w14:textId="7F668FF9" w:rsidR="00547797" w:rsidRDefault="00547797" w:rsidP="00547797">
      <w:pPr>
        <w:spacing w:after="0" w:line="240" w:lineRule="auto"/>
        <w:rPr>
          <w:rFonts w:ascii="Calibri" w:eastAsia="Calibri" w:hAnsi="Calibri" w:cs="Calibri"/>
          <w:sz w:val="24"/>
          <w:szCs w:val="24"/>
        </w:rPr>
      </w:pPr>
      <w:r w:rsidRPr="00547797">
        <w:rPr>
          <w:rFonts w:ascii="Calibri" w:eastAsia="Calibri" w:hAnsi="Calibri" w:cs="Calibri"/>
          <w:sz w:val="24"/>
          <w:szCs w:val="24"/>
        </w:rPr>
        <w:t>Note: Applications signed on Monday, September 4, 2023 or earlier and received on or after September 5, 2023 will receive the post-change version of the product(s). These changes will not require a new version of the statement of understanding. The current version of the Statement of Understanding will be required prior to issue.</w:t>
      </w:r>
    </w:p>
    <w:p w14:paraId="1CAE3ABF" w14:textId="77777777" w:rsidR="00547797" w:rsidRPr="00547797" w:rsidRDefault="00547797" w:rsidP="00547797">
      <w:pPr>
        <w:spacing w:after="0" w:line="240" w:lineRule="auto"/>
        <w:rPr>
          <w:rFonts w:ascii="Calibri" w:eastAsia="Calibri" w:hAnsi="Calibri" w:cs="Calibri"/>
          <w:sz w:val="24"/>
          <w:szCs w:val="24"/>
        </w:rPr>
      </w:pPr>
    </w:p>
    <w:p w14:paraId="3C44745E" w14:textId="77777777" w:rsidR="00547797" w:rsidRPr="00547797" w:rsidRDefault="00547797" w:rsidP="00547797">
      <w:pPr>
        <w:spacing w:after="0" w:line="240" w:lineRule="auto"/>
        <w:rPr>
          <w:rFonts w:ascii="Calibri" w:eastAsia="Calibri" w:hAnsi="Calibri" w:cs="Calibri"/>
          <w:sz w:val="24"/>
          <w:szCs w:val="24"/>
        </w:rPr>
      </w:pPr>
      <w:r w:rsidRPr="00547797">
        <w:rPr>
          <w:rFonts w:ascii="Calibri" w:eastAsia="Calibri" w:hAnsi="Calibri" w:cs="Calibri"/>
          <w:sz w:val="24"/>
          <w:szCs w:val="24"/>
        </w:rPr>
        <w:t>Pending applications receiving the pre-change version of the product may opt in to the post-change version of the product(s) by submitting the September 2023 Product Change Letter of Instruction and the current Statement of Understanding to the home office no later than Wednesday, October 4.</w:t>
      </w:r>
    </w:p>
    <w:p w14:paraId="07F73894" w14:textId="77777777" w:rsidR="00547797" w:rsidRDefault="00547797" w:rsidP="00547797">
      <w:pPr>
        <w:spacing w:after="0" w:line="240" w:lineRule="auto"/>
        <w:rPr>
          <w:rFonts w:ascii="Calibri" w:eastAsia="Calibri" w:hAnsi="Calibri" w:cs="Calibri"/>
          <w:sz w:val="24"/>
          <w:szCs w:val="24"/>
        </w:rPr>
      </w:pPr>
    </w:p>
    <w:p w14:paraId="29310694" w14:textId="32424DC6" w:rsidR="00547797" w:rsidRDefault="00547797" w:rsidP="00547797">
      <w:pPr>
        <w:spacing w:after="0" w:line="240" w:lineRule="auto"/>
        <w:rPr>
          <w:rFonts w:ascii="Calibri" w:eastAsia="Calibri" w:hAnsi="Calibri" w:cs="Calibri"/>
          <w:sz w:val="24"/>
          <w:szCs w:val="24"/>
        </w:rPr>
      </w:pPr>
      <w:r w:rsidRPr="00547797">
        <w:rPr>
          <w:rFonts w:ascii="Calibri" w:eastAsia="Calibri" w:hAnsi="Calibri" w:cs="Calibri"/>
          <w:sz w:val="24"/>
          <w:szCs w:val="24"/>
        </w:rPr>
        <w:t>Issued contracts within their free-look period receiving the pre-change version of the product may opt in to the post-change version of the product(s) by submitting the September 2023 Product Change Letter of Instruction and the current Statement of Understanding to the home office no later than the end of the free-look period.</w:t>
      </w:r>
    </w:p>
    <w:p w14:paraId="34AE6DC3" w14:textId="77777777" w:rsidR="00547797" w:rsidRPr="00547797" w:rsidRDefault="00547797" w:rsidP="00547797">
      <w:pPr>
        <w:spacing w:after="0" w:line="240" w:lineRule="auto"/>
        <w:rPr>
          <w:rFonts w:ascii="Calibri" w:eastAsia="Calibri" w:hAnsi="Calibri" w:cs="Calibri"/>
          <w:sz w:val="24"/>
          <w:szCs w:val="24"/>
        </w:rPr>
      </w:pPr>
    </w:p>
    <w:p w14:paraId="58D619BB" w14:textId="7EF349BA" w:rsidR="00547797" w:rsidRPr="00547797" w:rsidRDefault="00547797" w:rsidP="00547797">
      <w:pPr>
        <w:spacing w:after="0" w:line="240" w:lineRule="auto"/>
        <w:rPr>
          <w:rFonts w:ascii="Calibri" w:eastAsia="Calibri" w:hAnsi="Calibri" w:cs="Calibri"/>
          <w:sz w:val="24"/>
          <w:szCs w:val="24"/>
        </w:rPr>
      </w:pPr>
      <w:r w:rsidRPr="00547797">
        <w:rPr>
          <w:rFonts w:ascii="Calibri" w:eastAsia="Calibri" w:hAnsi="Calibri" w:cs="Calibri"/>
          <w:sz w:val="24"/>
          <w:szCs w:val="24"/>
        </w:rPr>
        <w:t>NOTE: A Product Change Letter of Instruction is not required for </w:t>
      </w:r>
      <w:r w:rsidRPr="00547797">
        <w:rPr>
          <w:rFonts w:ascii="Calibri" w:eastAsia="Calibri" w:hAnsi="Calibri" w:cs="Calibri"/>
          <w:i/>
          <w:iCs/>
          <w:sz w:val="24"/>
          <w:szCs w:val="24"/>
        </w:rPr>
        <w:t>pending</w:t>
      </w:r>
      <w:r w:rsidRPr="00547797">
        <w:rPr>
          <w:rFonts w:ascii="Calibri" w:eastAsia="Calibri" w:hAnsi="Calibri" w:cs="Calibri"/>
          <w:sz w:val="24"/>
          <w:szCs w:val="24"/>
        </w:rPr>
        <w:t> Allianz Accumulation Advantage</w:t>
      </w:r>
      <w:r w:rsidR="0036676B">
        <w:rPr>
          <w:rFonts w:ascii="Calibri" w:eastAsia="Calibri" w:hAnsi="Calibri" w:cs="Calibri"/>
          <w:sz w:val="24"/>
          <w:szCs w:val="24"/>
        </w:rPr>
        <w:t>®</w:t>
      </w:r>
      <w:r w:rsidRPr="00547797">
        <w:rPr>
          <w:rFonts w:ascii="Calibri" w:eastAsia="Calibri" w:hAnsi="Calibri" w:cs="Calibri"/>
          <w:sz w:val="24"/>
          <w:szCs w:val="24"/>
        </w:rPr>
        <w:t xml:space="preserve"> Annuity applications.</w:t>
      </w:r>
    </w:p>
    <w:p w14:paraId="111C518F" w14:textId="77777777" w:rsidR="00547797" w:rsidRPr="00547797" w:rsidRDefault="00547797" w:rsidP="00547797">
      <w:pPr>
        <w:spacing w:after="0" w:line="240" w:lineRule="auto"/>
        <w:rPr>
          <w:rFonts w:ascii="Calibri" w:eastAsia="Calibri" w:hAnsi="Calibri" w:cs="Calibri"/>
          <w:sz w:val="24"/>
          <w:szCs w:val="24"/>
        </w:rPr>
      </w:pPr>
    </w:p>
    <w:p w14:paraId="55741A3D" w14:textId="15162CBE" w:rsidR="003709A3" w:rsidRPr="00FE60D7" w:rsidRDefault="003709A3" w:rsidP="003709A3">
      <w:pPr>
        <w:spacing w:after="0" w:line="240" w:lineRule="auto"/>
      </w:pPr>
    </w:p>
    <w:p w14:paraId="621F75B1" w14:textId="09BF62DE" w:rsidR="00793A9E" w:rsidRPr="00670AED" w:rsidRDefault="00CC5C70" w:rsidP="00646218">
      <w:pPr>
        <w:rPr>
          <w:sz w:val="24"/>
          <w:szCs w:val="24"/>
        </w:rPr>
      </w:pPr>
      <w:r w:rsidRPr="00670AED">
        <w:rPr>
          <w:b/>
          <w:sz w:val="24"/>
          <w:szCs w:val="24"/>
        </w:rPr>
        <w:t>CALL TO ACTION:</w:t>
      </w:r>
      <w:r w:rsidR="00FE60D7">
        <w:rPr>
          <w:sz w:val="24"/>
          <w:szCs w:val="24"/>
        </w:rPr>
        <w:t xml:space="preserve"> For more details</w:t>
      </w:r>
      <w:r w:rsidR="008479B9" w:rsidRPr="00670AED">
        <w:rPr>
          <w:sz w:val="24"/>
          <w:szCs w:val="24"/>
        </w:rPr>
        <w:t>, contact us at</w:t>
      </w:r>
      <w:r w:rsidR="005B05E3" w:rsidRPr="00670AED">
        <w:rPr>
          <w:sz w:val="24"/>
          <w:szCs w:val="24"/>
        </w:rPr>
        <w:t xml:space="preserve"> </w:t>
      </w:r>
      <w:r w:rsidR="005B05E3" w:rsidRPr="00670AED">
        <w:rPr>
          <w:i/>
          <w:sz w:val="24"/>
          <w:szCs w:val="24"/>
        </w:rPr>
        <w:t>(FMO name, FMO phone number)</w:t>
      </w:r>
      <w:r w:rsidR="005B05E3" w:rsidRPr="00670AED">
        <w:rPr>
          <w:sz w:val="24"/>
          <w:szCs w:val="24"/>
        </w:rPr>
        <w:t>.</w:t>
      </w:r>
    </w:p>
    <w:p w14:paraId="6BF2F7D7" w14:textId="77777777" w:rsidR="008579C7" w:rsidRPr="00670AED" w:rsidRDefault="008579C7" w:rsidP="008579C7">
      <w:pPr>
        <w:pStyle w:val="ListParagraph"/>
        <w:rPr>
          <w:rFonts w:ascii="Helvetica" w:hAnsi="Helvetica"/>
          <w:color w:val="FF0000"/>
        </w:rPr>
      </w:pPr>
      <w:r w:rsidRPr="00670AED">
        <w:rPr>
          <w:b/>
          <w:noProof/>
        </w:rPr>
        <mc:AlternateContent>
          <mc:Choice Requires="wps">
            <w:drawing>
              <wp:anchor distT="0" distB="0" distL="114300" distR="114300" simplePos="0" relativeHeight="251663360" behindDoc="0" locked="0" layoutInCell="1" allowOverlap="1" wp14:anchorId="635B9529" wp14:editId="4B762D38">
                <wp:simplePos x="0" y="0"/>
                <wp:positionH relativeFrom="column">
                  <wp:posOffset>-358775</wp:posOffset>
                </wp:positionH>
                <wp:positionV relativeFrom="paragraph">
                  <wp:posOffset>192405</wp:posOffset>
                </wp:positionV>
                <wp:extent cx="6210300" cy="6350"/>
                <wp:effectExtent l="0" t="0" r="19050" b="31750"/>
                <wp:wrapNone/>
                <wp:docPr id="3" name="Straight Connector 3"/>
                <wp:cNvGraphicFramePr/>
                <a:graphic xmlns:a="http://schemas.openxmlformats.org/drawingml/2006/main">
                  <a:graphicData uri="http://schemas.microsoft.com/office/word/2010/wordprocessingShape">
                    <wps:wsp>
                      <wps:cNvCnPr/>
                      <wps:spPr>
                        <a:xfrm flipV="1">
                          <a:off x="0" y="0"/>
                          <a:ext cx="6210300" cy="63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18376655" id="Straight Connector 3" o:spid="_x0000_s1026" style="position:absolute;flip:y;z-index:251663360;visibility:visible;mso-wrap-style:square;mso-wrap-distance-left:9pt;mso-wrap-distance-top:0;mso-wrap-distance-right:9pt;mso-wrap-distance-bottom:0;mso-position-horizontal:absolute;mso-position-horizontal-relative:text;mso-position-vertical:absolute;mso-position-vertical-relative:text" from="-28.25pt,15.15pt" to="460.75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" strokecolor="black [3040]"/>
            </w:pict>
          </mc:Fallback>
        </mc:AlternateContent>
      </w:r>
    </w:p>
    <w:p w14:paraId="631AEC90" w14:textId="77777777" w:rsidR="00CC5C70" w:rsidRPr="00670AED" w:rsidRDefault="00CC5C70" w:rsidP="00646218">
      <w:pPr>
        <w:rPr>
          <w:sz w:val="24"/>
          <w:szCs w:val="24"/>
        </w:rPr>
      </w:pPr>
      <w:r w:rsidRPr="00670AED">
        <w:rPr>
          <w:sz w:val="24"/>
          <w:szCs w:val="24"/>
        </w:rPr>
        <w:t>(Disclosure that must be included, one font size smaller than body copy)</w:t>
      </w:r>
      <w:bookmarkStart w:id="0" w:name="_GoBack"/>
      <w:bookmarkEnd w:id="0"/>
    </w:p>
    <w:p w14:paraId="5C2259A8" w14:textId="5D79013A" w:rsidR="00FD6AD2" w:rsidRDefault="00044F74" w:rsidP="00FE60D7">
      <w:pPr>
        <w:pStyle w:val="NormalWeb"/>
        <w:tabs>
          <w:tab w:val="left" w:pos="1440"/>
        </w:tabs>
        <w:spacing w:before="0" w:beforeAutospacing="0" w:after="120" w:afterAutospacing="0"/>
        <w:textAlignment w:val="baseline"/>
        <w:rPr>
          <w:rFonts w:ascii="Calibri" w:eastAsia="Calibri" w:hAnsi="Calibri" w:cs="Calibri"/>
          <w:color w:val="000000"/>
          <w:sz w:val="20"/>
          <w:szCs w:val="20"/>
        </w:rPr>
      </w:pPr>
      <w:r w:rsidRPr="0074739E">
        <w:rPr>
          <w:rFonts w:asciiTheme="minorHAnsi" w:hAnsiTheme="minorHAnsi" w:cstheme="minorHAnsi"/>
          <w:b/>
        </w:rPr>
        <w:t>Disclosures:</w:t>
      </w:r>
      <w:r w:rsidRPr="00670AED">
        <w:rPr>
          <w:b/>
        </w:rPr>
        <w:t xml:space="preserve"> </w:t>
      </w:r>
      <w:r w:rsidRPr="00670AED">
        <w:rPr>
          <w:b/>
        </w:rPr>
        <w:br/>
      </w:r>
      <w:proofErr w:type="gramStart"/>
      <w:r w:rsidR="00FE60D7" w:rsidRPr="00FD6AD2">
        <w:rPr>
          <w:rFonts w:ascii="Calibri" w:hAnsi="Calibri" w:cs="Calibri"/>
          <w:color w:val="000000"/>
          <w:sz w:val="22"/>
          <w:szCs w:val="22"/>
          <w:vertAlign w:val="superscript"/>
        </w:rPr>
        <w:t>1</w:t>
      </w:r>
      <w:proofErr w:type="gramEnd"/>
      <w:r w:rsidR="00FE60D7" w:rsidRPr="00FD6AD2">
        <w:rPr>
          <w:rFonts w:ascii="Calibri" w:hAnsi="Calibri" w:cs="Calibri"/>
          <w:color w:val="000000"/>
          <w:sz w:val="22"/>
          <w:szCs w:val="22"/>
        </w:rPr>
        <w:t xml:space="preserve"> </w:t>
      </w:r>
      <w:r w:rsidR="00FD6AD2" w:rsidRPr="00FD6AD2">
        <w:rPr>
          <w:rFonts w:ascii="Calibri" w:eastAsia="Calibri" w:hAnsi="Calibri" w:cs="Calibri"/>
          <w:color w:val="000000"/>
          <w:sz w:val="22"/>
          <w:szCs w:val="22"/>
        </w:rPr>
        <w:t xml:space="preserve">The premium bonus and interest bonus are credited only to the Protected Income Value (PIV). To receive the PIV, including the bonus, the contract </w:t>
      </w:r>
      <w:proofErr w:type="gramStart"/>
      <w:r w:rsidR="00FD6AD2" w:rsidRPr="00FD6AD2">
        <w:rPr>
          <w:rFonts w:ascii="Calibri" w:eastAsia="Calibri" w:hAnsi="Calibri" w:cs="Calibri"/>
          <w:color w:val="000000"/>
          <w:sz w:val="22"/>
          <w:szCs w:val="22"/>
        </w:rPr>
        <w:t>must be held</w:t>
      </w:r>
      <w:proofErr w:type="gramEnd"/>
      <w:r w:rsidR="00FD6AD2" w:rsidRPr="00FD6AD2">
        <w:rPr>
          <w:rFonts w:ascii="Calibri" w:eastAsia="Calibri" w:hAnsi="Calibri" w:cs="Calibri"/>
          <w:color w:val="000000"/>
          <w:sz w:val="22"/>
          <w:szCs w:val="22"/>
        </w:rPr>
        <w:t xml:space="preserve"> for at least 10 contract years, and then lifetime income withdrawals must be taken. Your client will not receive the bonuses if the contract </w:t>
      </w:r>
      <w:proofErr w:type="gramStart"/>
      <w:r w:rsidR="00FD6AD2" w:rsidRPr="00FD6AD2">
        <w:rPr>
          <w:rFonts w:ascii="Calibri" w:eastAsia="Calibri" w:hAnsi="Calibri" w:cs="Calibri"/>
          <w:color w:val="000000"/>
          <w:sz w:val="22"/>
          <w:szCs w:val="22"/>
        </w:rPr>
        <w:t>is fully surrendered</w:t>
      </w:r>
      <w:proofErr w:type="gramEnd"/>
      <w:r w:rsidR="00FD6AD2" w:rsidRPr="00FD6AD2">
        <w:rPr>
          <w:rFonts w:ascii="Calibri" w:eastAsia="Calibri" w:hAnsi="Calibri" w:cs="Calibri"/>
          <w:color w:val="000000"/>
          <w:sz w:val="22"/>
          <w:szCs w:val="22"/>
        </w:rPr>
        <w:t xml:space="preserve"> or if traditional </w:t>
      </w:r>
      <w:proofErr w:type="spellStart"/>
      <w:r w:rsidR="00FD6AD2" w:rsidRPr="00FD6AD2">
        <w:rPr>
          <w:rFonts w:ascii="Calibri" w:eastAsia="Calibri" w:hAnsi="Calibri" w:cs="Calibri"/>
          <w:color w:val="000000"/>
          <w:sz w:val="22"/>
          <w:szCs w:val="22"/>
        </w:rPr>
        <w:t>annuitization</w:t>
      </w:r>
      <w:proofErr w:type="spellEnd"/>
      <w:r w:rsidR="00FD6AD2" w:rsidRPr="00FD6AD2">
        <w:rPr>
          <w:rFonts w:ascii="Calibri" w:eastAsia="Calibri" w:hAnsi="Calibri" w:cs="Calibri"/>
          <w:color w:val="000000"/>
          <w:sz w:val="22"/>
          <w:szCs w:val="22"/>
        </w:rPr>
        <w:t xml:space="preserve"> payments are taken. If it is partially surrendered the PIV will be reduced proportionally, which could result in a partial loss of bonuses. Income withdrawals are considered partial withdrawals and are subject to ordinary income tax and, if taken prior to </w:t>
      </w:r>
      <w:r w:rsidR="0036676B">
        <w:rPr>
          <w:rFonts w:ascii="Calibri" w:eastAsia="Calibri" w:hAnsi="Calibri" w:cs="Calibri"/>
          <w:color w:val="000000"/>
          <w:sz w:val="22"/>
          <w:szCs w:val="22"/>
        </w:rPr>
        <w:t xml:space="preserve">age </w:t>
      </w:r>
      <w:r w:rsidR="00FD6AD2" w:rsidRPr="00FD6AD2">
        <w:rPr>
          <w:rFonts w:ascii="Calibri" w:eastAsia="Calibri" w:hAnsi="Calibri" w:cs="Calibri"/>
          <w:color w:val="000000"/>
          <w:sz w:val="22"/>
          <w:szCs w:val="22"/>
        </w:rPr>
        <w:t xml:space="preserve">59½, a 10% federal additional tax. Because this is a bonus annuity, it may include higher surrender </w:t>
      </w:r>
      <w:proofErr w:type="gramStart"/>
      <w:r w:rsidR="00FD6AD2" w:rsidRPr="00FD6AD2">
        <w:rPr>
          <w:rFonts w:ascii="Calibri" w:eastAsia="Calibri" w:hAnsi="Calibri" w:cs="Calibri"/>
          <w:color w:val="000000"/>
          <w:sz w:val="22"/>
          <w:szCs w:val="22"/>
        </w:rPr>
        <w:t>charges,</w:t>
      </w:r>
      <w:proofErr w:type="gramEnd"/>
      <w:r w:rsidR="00FD6AD2" w:rsidRPr="00FD6AD2">
        <w:rPr>
          <w:rFonts w:ascii="Calibri" w:eastAsia="Calibri" w:hAnsi="Calibri" w:cs="Calibri"/>
          <w:color w:val="000000"/>
          <w:sz w:val="22"/>
          <w:szCs w:val="22"/>
        </w:rPr>
        <w:t xml:space="preserve"> longer surrender charge periods, lower caps, higher spreads, or other restrictions that are not included in similar annuities that don't offer a bonus feature.</w:t>
      </w:r>
    </w:p>
    <w:p w14:paraId="391571E4" w14:textId="77777777" w:rsidR="00FE60D7" w:rsidRPr="00FE60D7" w:rsidRDefault="00FE60D7" w:rsidP="00FE60D7">
      <w:pPr>
        <w:rPr>
          <w:rFonts w:cstheme="minorHAnsi"/>
        </w:rPr>
      </w:pPr>
      <w:r w:rsidRPr="00FE60D7">
        <w:rPr>
          <w:rFonts w:cstheme="minorHAnsi"/>
        </w:rPr>
        <w:t xml:space="preserve">Guarantees </w:t>
      </w:r>
      <w:proofErr w:type="gramStart"/>
      <w:r w:rsidRPr="00FE60D7">
        <w:rPr>
          <w:rFonts w:cstheme="minorHAnsi"/>
        </w:rPr>
        <w:t>are backed</w:t>
      </w:r>
      <w:proofErr w:type="gramEnd"/>
      <w:r w:rsidRPr="00FE60D7">
        <w:rPr>
          <w:rFonts w:cstheme="minorHAnsi"/>
        </w:rPr>
        <w:t xml:space="preserve"> by the financial strength and claims-paying ability of Allianz Life Insurance Company of North America.</w:t>
      </w:r>
    </w:p>
    <w:p w14:paraId="6B381D3D" w14:textId="77777777" w:rsidR="00FE60D7" w:rsidRPr="00FE60D7" w:rsidRDefault="00FE60D7" w:rsidP="00FE60D7">
      <w:pPr>
        <w:rPr>
          <w:rFonts w:cstheme="minorHAnsi"/>
        </w:rPr>
      </w:pPr>
      <w:r w:rsidRPr="00FE60D7">
        <w:rPr>
          <w:rFonts w:cstheme="minorHAnsi"/>
        </w:rPr>
        <w:t>Products are issued by Allianz Life Insurance Company of North America, PO Box 59060, Minneapolis, MN 55459-0060.</w:t>
      </w:r>
    </w:p>
    <w:p w14:paraId="793AEE72" w14:textId="77777777" w:rsidR="00FE60D7" w:rsidRPr="00FE60D7" w:rsidRDefault="00FE60D7" w:rsidP="00FE60D7">
      <w:pPr>
        <w:rPr>
          <w:rFonts w:cstheme="minorHAnsi"/>
          <w:b/>
        </w:rPr>
      </w:pPr>
      <w:r w:rsidRPr="00FE60D7">
        <w:rPr>
          <w:rFonts w:cstheme="minorHAnsi"/>
          <w:b/>
        </w:rPr>
        <w:t>For financial professional use only – not for use with the public.</w:t>
      </w:r>
    </w:p>
    <w:p w14:paraId="64DA809A" w14:textId="77777777" w:rsidR="00FE60D7" w:rsidRPr="00FE60D7" w:rsidRDefault="00FE60D7" w:rsidP="00FE60D7">
      <w:pPr>
        <w:rPr>
          <w:rFonts w:cstheme="minorHAnsi"/>
        </w:rPr>
      </w:pPr>
      <w:r w:rsidRPr="00FE60D7">
        <w:rPr>
          <w:rFonts w:cstheme="minorHAnsi"/>
        </w:rPr>
        <w:t>Product and feature availability may vary by state and broker/dealer.</w:t>
      </w:r>
    </w:p>
    <w:p w14:paraId="4CF30400" w14:textId="77777777" w:rsidR="00FE60D7" w:rsidRPr="00FE60D7" w:rsidRDefault="00FE60D7" w:rsidP="00FE60D7">
      <w:pPr>
        <w:rPr>
          <w:rFonts w:cstheme="minorHAnsi"/>
        </w:rPr>
      </w:pPr>
      <w:r w:rsidRPr="00FE60D7">
        <w:rPr>
          <w:rFonts w:cstheme="minorHAnsi"/>
        </w:rPr>
        <w:t>You may unsubscribe from Allianz emails.</w:t>
      </w:r>
    </w:p>
    <w:p w14:paraId="36545958" w14:textId="77777777" w:rsidR="00FD6AD2" w:rsidRPr="00FD6AD2" w:rsidRDefault="00FD6AD2" w:rsidP="00FD6AD2">
      <w:pPr>
        <w:rPr>
          <w:rFonts w:ascii="Calibri" w:hAnsi="Calibri" w:cs="Calibri"/>
          <w:color w:val="000000"/>
        </w:rPr>
      </w:pPr>
      <w:r w:rsidRPr="00FD6AD2">
        <w:rPr>
          <w:rFonts w:ascii="Calibri" w:hAnsi="Calibri" w:cs="Calibri"/>
          <w:color w:val="000000"/>
        </w:rPr>
        <w:t>C54370-MVA, C64237-MVA, R95352-MVA R-95581-MVA</w:t>
      </w:r>
    </w:p>
    <w:p w14:paraId="167A0D44" w14:textId="5BB3CA1C" w:rsidR="00FF4182" w:rsidRPr="00CA2CAB" w:rsidRDefault="005909C7" w:rsidP="00FE60D7">
      <w:pPr>
        <w:pStyle w:val="para1"/>
        <w:spacing w:after="0" w:line="240" w:lineRule="auto"/>
      </w:pPr>
      <w:r w:rsidRPr="00FE60D7">
        <w:rPr>
          <w:rFonts w:asciiTheme="minorHAnsi" w:hAnsiTheme="minorHAnsi" w:cstheme="minorHAnsi"/>
          <w:color w:val="auto"/>
          <w:sz w:val="22"/>
          <w:szCs w:val="22"/>
        </w:rPr>
        <w:t>EFIX-</w:t>
      </w:r>
      <w:r w:rsidR="0074739E">
        <w:rPr>
          <w:rFonts w:asciiTheme="minorHAnsi" w:hAnsiTheme="minorHAnsi" w:cstheme="minorHAnsi"/>
          <w:color w:val="auto"/>
          <w:sz w:val="22"/>
          <w:szCs w:val="22"/>
        </w:rPr>
        <w:t>6940</w:t>
      </w:r>
      <w:r w:rsidR="00116658" w:rsidRPr="00670AED">
        <w:tab/>
      </w:r>
      <w:r w:rsidR="00116658" w:rsidRPr="00670AED">
        <w:tab/>
      </w:r>
      <w:r w:rsidR="00116658" w:rsidRPr="00670AED">
        <w:tab/>
      </w:r>
      <w:r w:rsidR="00116658" w:rsidRPr="00670AED">
        <w:tab/>
      </w:r>
      <w:r w:rsidR="00116658" w:rsidRPr="00670AED">
        <w:tab/>
      </w:r>
      <w:r w:rsidR="00116658" w:rsidRPr="00670AED">
        <w:tab/>
      </w:r>
      <w:r w:rsidR="00116658" w:rsidRPr="00670AED">
        <w:tab/>
      </w:r>
      <w:r w:rsidR="00116658" w:rsidRPr="00670AED">
        <w:tab/>
      </w:r>
    </w:p>
    <w:sectPr w:rsidR="00FF4182" w:rsidRPr="00CA2C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3425A"/>
    <w:multiLevelType w:val="hybridMultilevel"/>
    <w:tmpl w:val="8376A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7E601A"/>
    <w:multiLevelType w:val="hybridMultilevel"/>
    <w:tmpl w:val="6E541B4C"/>
    <w:lvl w:ilvl="0" w:tplc="4ACE405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E0398"/>
    <w:multiLevelType w:val="hybridMultilevel"/>
    <w:tmpl w:val="DEE46A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B57C78"/>
    <w:multiLevelType w:val="hybridMultilevel"/>
    <w:tmpl w:val="CFAEF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731841"/>
    <w:multiLevelType w:val="hybridMultilevel"/>
    <w:tmpl w:val="45C28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0638AF"/>
    <w:multiLevelType w:val="hybridMultilevel"/>
    <w:tmpl w:val="21D07A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BC7964"/>
    <w:multiLevelType w:val="hybridMultilevel"/>
    <w:tmpl w:val="0A68A1E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2A303EA9"/>
    <w:multiLevelType w:val="hybridMultilevel"/>
    <w:tmpl w:val="36024964"/>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DD92A5F"/>
    <w:multiLevelType w:val="hybridMultilevel"/>
    <w:tmpl w:val="77B61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634F2A"/>
    <w:multiLevelType w:val="hybridMultilevel"/>
    <w:tmpl w:val="ABB82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FD5C10"/>
    <w:multiLevelType w:val="hybridMultilevel"/>
    <w:tmpl w:val="1E562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892436"/>
    <w:multiLevelType w:val="hybridMultilevel"/>
    <w:tmpl w:val="6CEE5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1033EE"/>
    <w:multiLevelType w:val="hybridMultilevel"/>
    <w:tmpl w:val="9AC043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F259C2"/>
    <w:multiLevelType w:val="hybridMultilevel"/>
    <w:tmpl w:val="677A370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31606E"/>
    <w:multiLevelType w:val="multilevel"/>
    <w:tmpl w:val="2F5685C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6270340F"/>
    <w:multiLevelType w:val="multilevel"/>
    <w:tmpl w:val="9C8667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2BC1968"/>
    <w:multiLevelType w:val="hybridMultilevel"/>
    <w:tmpl w:val="BAB42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A631F5"/>
    <w:multiLevelType w:val="hybridMultilevel"/>
    <w:tmpl w:val="EFB450FE"/>
    <w:lvl w:ilvl="0" w:tplc="AAA89EFE">
      <w:start w:val="1"/>
      <w:numFmt w:val="decimal"/>
      <w:lvlText w:val="%1)"/>
      <w:lvlJc w:val="left"/>
      <w:pPr>
        <w:ind w:left="720" w:hanging="360"/>
      </w:pPr>
      <w:rPr>
        <w:rFonts w:asciiTheme="minorHAnsi" w:hAnsiTheme="minorHAnsi"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525512"/>
    <w:multiLevelType w:val="hybridMultilevel"/>
    <w:tmpl w:val="A19ECF9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7A2BB2"/>
    <w:multiLevelType w:val="multilevel"/>
    <w:tmpl w:val="06649C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DB0577C"/>
    <w:multiLevelType w:val="hybridMultilevel"/>
    <w:tmpl w:val="D5A81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422D6A"/>
    <w:multiLevelType w:val="hybridMultilevel"/>
    <w:tmpl w:val="0630B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1E22FC"/>
    <w:multiLevelType w:val="hybridMultilevel"/>
    <w:tmpl w:val="C4EC33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876AE4"/>
    <w:multiLevelType w:val="hybridMultilevel"/>
    <w:tmpl w:val="EEC21B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7C16371C"/>
    <w:multiLevelType w:val="hybridMultilevel"/>
    <w:tmpl w:val="C7A6C36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2"/>
  </w:num>
  <w:num w:numId="2">
    <w:abstractNumId w:val="9"/>
  </w:num>
  <w:num w:numId="3">
    <w:abstractNumId w:val="18"/>
  </w:num>
  <w:num w:numId="4">
    <w:abstractNumId w:val="17"/>
  </w:num>
  <w:num w:numId="5">
    <w:abstractNumId w:val="0"/>
  </w:num>
  <w:num w:numId="6">
    <w:abstractNumId w:val="16"/>
  </w:num>
  <w:num w:numId="7">
    <w:abstractNumId w:val="5"/>
  </w:num>
  <w:num w:numId="8">
    <w:abstractNumId w:val="21"/>
  </w:num>
  <w:num w:numId="9">
    <w:abstractNumId w:val="24"/>
  </w:num>
  <w:num w:numId="10">
    <w:abstractNumId w:val="7"/>
  </w:num>
  <w:num w:numId="11">
    <w:abstractNumId w:val="13"/>
  </w:num>
  <w:num w:numId="12">
    <w:abstractNumId w:val="2"/>
  </w:num>
  <w:num w:numId="13">
    <w:abstractNumId w:val="4"/>
  </w:num>
  <w:num w:numId="14">
    <w:abstractNumId w:val="8"/>
  </w:num>
  <w:num w:numId="15">
    <w:abstractNumId w:val="20"/>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5"/>
  </w:num>
  <w:num w:numId="19">
    <w:abstractNumId w:val="22"/>
  </w:num>
  <w:num w:numId="2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1"/>
  </w:num>
  <w:num w:numId="24">
    <w:abstractNumId w:val="3"/>
  </w:num>
  <w:num w:numId="25">
    <w:abstractNumId w:val="11"/>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8B2"/>
    <w:rsid w:val="000003C8"/>
    <w:rsid w:val="00013385"/>
    <w:rsid w:val="00021AD1"/>
    <w:rsid w:val="000409AD"/>
    <w:rsid w:val="00044F74"/>
    <w:rsid w:val="00055E9B"/>
    <w:rsid w:val="00093132"/>
    <w:rsid w:val="0009611E"/>
    <w:rsid w:val="000975A2"/>
    <w:rsid w:val="000A0888"/>
    <w:rsid w:val="000A21FE"/>
    <w:rsid w:val="000C4180"/>
    <w:rsid w:val="000D14D7"/>
    <w:rsid w:val="000D4F38"/>
    <w:rsid w:val="001044F1"/>
    <w:rsid w:val="00105B59"/>
    <w:rsid w:val="00116096"/>
    <w:rsid w:val="00116658"/>
    <w:rsid w:val="00133EF8"/>
    <w:rsid w:val="00156533"/>
    <w:rsid w:val="00174D74"/>
    <w:rsid w:val="0017552A"/>
    <w:rsid w:val="001801FD"/>
    <w:rsid w:val="0018194A"/>
    <w:rsid w:val="00181F13"/>
    <w:rsid w:val="0018464F"/>
    <w:rsid w:val="001855AC"/>
    <w:rsid w:val="001855CC"/>
    <w:rsid w:val="001A73A0"/>
    <w:rsid w:val="001A7A92"/>
    <w:rsid w:val="001C3FD8"/>
    <w:rsid w:val="001D6354"/>
    <w:rsid w:val="001E6A56"/>
    <w:rsid w:val="001E6AC5"/>
    <w:rsid w:val="001F3072"/>
    <w:rsid w:val="001F5EE9"/>
    <w:rsid w:val="001F742D"/>
    <w:rsid w:val="002233C1"/>
    <w:rsid w:val="00241926"/>
    <w:rsid w:val="00277A73"/>
    <w:rsid w:val="00287375"/>
    <w:rsid w:val="00292ABE"/>
    <w:rsid w:val="002A4443"/>
    <w:rsid w:val="002D079D"/>
    <w:rsid w:val="002F177D"/>
    <w:rsid w:val="0032151C"/>
    <w:rsid w:val="003240CB"/>
    <w:rsid w:val="003461D2"/>
    <w:rsid w:val="00351CA9"/>
    <w:rsid w:val="00361C96"/>
    <w:rsid w:val="0036676B"/>
    <w:rsid w:val="003709A3"/>
    <w:rsid w:val="003A6938"/>
    <w:rsid w:val="003A7405"/>
    <w:rsid w:val="003C1538"/>
    <w:rsid w:val="003D40D8"/>
    <w:rsid w:val="003F49DF"/>
    <w:rsid w:val="00400C07"/>
    <w:rsid w:val="00417543"/>
    <w:rsid w:val="00436E1E"/>
    <w:rsid w:val="004515BB"/>
    <w:rsid w:val="00455461"/>
    <w:rsid w:val="00456D73"/>
    <w:rsid w:val="004603B8"/>
    <w:rsid w:val="00463858"/>
    <w:rsid w:val="004638B2"/>
    <w:rsid w:val="004655A8"/>
    <w:rsid w:val="00483C6B"/>
    <w:rsid w:val="00494A24"/>
    <w:rsid w:val="004C3C95"/>
    <w:rsid w:val="004D2A83"/>
    <w:rsid w:val="004E2F45"/>
    <w:rsid w:val="005014E8"/>
    <w:rsid w:val="00504C46"/>
    <w:rsid w:val="005200FA"/>
    <w:rsid w:val="00536387"/>
    <w:rsid w:val="00547797"/>
    <w:rsid w:val="005509EB"/>
    <w:rsid w:val="00564C8F"/>
    <w:rsid w:val="005719AF"/>
    <w:rsid w:val="00581C99"/>
    <w:rsid w:val="005909C7"/>
    <w:rsid w:val="00595007"/>
    <w:rsid w:val="005A0844"/>
    <w:rsid w:val="005B05E3"/>
    <w:rsid w:val="005D4289"/>
    <w:rsid w:val="005F0FDD"/>
    <w:rsid w:val="005F4257"/>
    <w:rsid w:val="0060346F"/>
    <w:rsid w:val="00623656"/>
    <w:rsid w:val="00631F72"/>
    <w:rsid w:val="0063499F"/>
    <w:rsid w:val="00646218"/>
    <w:rsid w:val="00670AED"/>
    <w:rsid w:val="0067511A"/>
    <w:rsid w:val="006920C5"/>
    <w:rsid w:val="006B1B8E"/>
    <w:rsid w:val="006C0937"/>
    <w:rsid w:val="006D7257"/>
    <w:rsid w:val="006F2A4C"/>
    <w:rsid w:val="006F7872"/>
    <w:rsid w:val="00720293"/>
    <w:rsid w:val="007217EE"/>
    <w:rsid w:val="007239B3"/>
    <w:rsid w:val="00734575"/>
    <w:rsid w:val="00737561"/>
    <w:rsid w:val="00742DC9"/>
    <w:rsid w:val="0074739E"/>
    <w:rsid w:val="00750F34"/>
    <w:rsid w:val="00793A9E"/>
    <w:rsid w:val="00796C88"/>
    <w:rsid w:val="00797E6A"/>
    <w:rsid w:val="007B14D5"/>
    <w:rsid w:val="007B3ECD"/>
    <w:rsid w:val="007C454C"/>
    <w:rsid w:val="007D5F35"/>
    <w:rsid w:val="007D742B"/>
    <w:rsid w:val="007E536F"/>
    <w:rsid w:val="007E550E"/>
    <w:rsid w:val="007F15A4"/>
    <w:rsid w:val="00806C0F"/>
    <w:rsid w:val="008202F5"/>
    <w:rsid w:val="00831C86"/>
    <w:rsid w:val="008441C8"/>
    <w:rsid w:val="008479B9"/>
    <w:rsid w:val="008579C7"/>
    <w:rsid w:val="008623A7"/>
    <w:rsid w:val="00882698"/>
    <w:rsid w:val="008831A5"/>
    <w:rsid w:val="00896FA8"/>
    <w:rsid w:val="008A2385"/>
    <w:rsid w:val="008A2D77"/>
    <w:rsid w:val="008A2E6C"/>
    <w:rsid w:val="008A47DB"/>
    <w:rsid w:val="008B771B"/>
    <w:rsid w:val="008C151E"/>
    <w:rsid w:val="008C38D0"/>
    <w:rsid w:val="008F2EE6"/>
    <w:rsid w:val="008F3599"/>
    <w:rsid w:val="008F6752"/>
    <w:rsid w:val="009017E4"/>
    <w:rsid w:val="00907353"/>
    <w:rsid w:val="00925A36"/>
    <w:rsid w:val="00927BD7"/>
    <w:rsid w:val="00962C3B"/>
    <w:rsid w:val="00967673"/>
    <w:rsid w:val="009861C3"/>
    <w:rsid w:val="009A460D"/>
    <w:rsid w:val="009C797A"/>
    <w:rsid w:val="009D03FF"/>
    <w:rsid w:val="009D383F"/>
    <w:rsid w:val="00A161F8"/>
    <w:rsid w:val="00A20317"/>
    <w:rsid w:val="00A33D8C"/>
    <w:rsid w:val="00AA4532"/>
    <w:rsid w:val="00AB1A6F"/>
    <w:rsid w:val="00AB30C1"/>
    <w:rsid w:val="00AB5564"/>
    <w:rsid w:val="00AB7C01"/>
    <w:rsid w:val="00AC104E"/>
    <w:rsid w:val="00AC376D"/>
    <w:rsid w:val="00AD7A44"/>
    <w:rsid w:val="00AF127B"/>
    <w:rsid w:val="00B24F9E"/>
    <w:rsid w:val="00B53C46"/>
    <w:rsid w:val="00B551E0"/>
    <w:rsid w:val="00B73B18"/>
    <w:rsid w:val="00B74B27"/>
    <w:rsid w:val="00B81594"/>
    <w:rsid w:val="00B87E41"/>
    <w:rsid w:val="00BA00E9"/>
    <w:rsid w:val="00BD303F"/>
    <w:rsid w:val="00BD5D43"/>
    <w:rsid w:val="00BD5E8A"/>
    <w:rsid w:val="00C2279E"/>
    <w:rsid w:val="00C600E7"/>
    <w:rsid w:val="00C6218B"/>
    <w:rsid w:val="00C6554E"/>
    <w:rsid w:val="00C916B6"/>
    <w:rsid w:val="00CA2CAB"/>
    <w:rsid w:val="00CC047C"/>
    <w:rsid w:val="00CC5C70"/>
    <w:rsid w:val="00CD2E00"/>
    <w:rsid w:val="00CF06BD"/>
    <w:rsid w:val="00D01AB3"/>
    <w:rsid w:val="00D1094F"/>
    <w:rsid w:val="00D27497"/>
    <w:rsid w:val="00D4009C"/>
    <w:rsid w:val="00D5429E"/>
    <w:rsid w:val="00D7509C"/>
    <w:rsid w:val="00D93CCA"/>
    <w:rsid w:val="00D93F84"/>
    <w:rsid w:val="00D9713B"/>
    <w:rsid w:val="00D97E01"/>
    <w:rsid w:val="00DA23CA"/>
    <w:rsid w:val="00DA2BED"/>
    <w:rsid w:val="00DD6F9A"/>
    <w:rsid w:val="00E06F0C"/>
    <w:rsid w:val="00E23C9E"/>
    <w:rsid w:val="00E37233"/>
    <w:rsid w:val="00E53030"/>
    <w:rsid w:val="00E658A2"/>
    <w:rsid w:val="00E77F39"/>
    <w:rsid w:val="00E86827"/>
    <w:rsid w:val="00E91B8A"/>
    <w:rsid w:val="00EC0FF7"/>
    <w:rsid w:val="00EC131A"/>
    <w:rsid w:val="00EC46F8"/>
    <w:rsid w:val="00EE21AC"/>
    <w:rsid w:val="00EF1A9B"/>
    <w:rsid w:val="00EF37F3"/>
    <w:rsid w:val="00F0138B"/>
    <w:rsid w:val="00F01F80"/>
    <w:rsid w:val="00F1510E"/>
    <w:rsid w:val="00F2336D"/>
    <w:rsid w:val="00F56A44"/>
    <w:rsid w:val="00F67C10"/>
    <w:rsid w:val="00F76AC2"/>
    <w:rsid w:val="00FB48C9"/>
    <w:rsid w:val="00FD6AD2"/>
    <w:rsid w:val="00FE1405"/>
    <w:rsid w:val="00FE60D7"/>
    <w:rsid w:val="00FE6CB1"/>
    <w:rsid w:val="00FF0847"/>
    <w:rsid w:val="00FF4182"/>
    <w:rsid w:val="00FF71E5"/>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7B7CE"/>
  <w15:docId w15:val="{C1485E74-AD57-41AA-B657-3432198CF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D97E01"/>
    <w:pPr>
      <w:keepNext/>
      <w:keepLines/>
      <w:spacing w:before="40" w:after="0" w:line="240"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638B2"/>
    <w:rPr>
      <w:color w:val="0000FF"/>
      <w:u w:val="single"/>
    </w:rPr>
  </w:style>
  <w:style w:type="paragraph" w:styleId="ListParagraph">
    <w:name w:val="List Paragraph"/>
    <w:basedOn w:val="Normal"/>
    <w:uiPriority w:val="34"/>
    <w:qFormat/>
    <w:rsid w:val="00B87E41"/>
    <w:pPr>
      <w:ind w:left="720"/>
      <w:contextualSpacing/>
    </w:pPr>
  </w:style>
  <w:style w:type="paragraph" w:styleId="BalloonText">
    <w:name w:val="Balloon Text"/>
    <w:basedOn w:val="Normal"/>
    <w:link w:val="BalloonTextChar"/>
    <w:uiPriority w:val="99"/>
    <w:semiHidden/>
    <w:unhideWhenUsed/>
    <w:rsid w:val="00483C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3C6B"/>
    <w:rPr>
      <w:rFonts w:ascii="Tahoma" w:hAnsi="Tahoma" w:cs="Tahoma"/>
      <w:sz w:val="16"/>
      <w:szCs w:val="16"/>
    </w:rPr>
  </w:style>
  <w:style w:type="table" w:styleId="TableGrid">
    <w:name w:val="Table Grid"/>
    <w:basedOn w:val="TableNormal"/>
    <w:uiPriority w:val="39"/>
    <w:rsid w:val="00AD7A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07353"/>
    <w:rPr>
      <w:sz w:val="16"/>
      <w:szCs w:val="16"/>
    </w:rPr>
  </w:style>
  <w:style w:type="paragraph" w:styleId="CommentText">
    <w:name w:val="annotation text"/>
    <w:basedOn w:val="Normal"/>
    <w:link w:val="CommentTextChar"/>
    <w:uiPriority w:val="99"/>
    <w:semiHidden/>
    <w:unhideWhenUsed/>
    <w:rsid w:val="00907353"/>
    <w:pPr>
      <w:spacing w:line="240" w:lineRule="auto"/>
    </w:pPr>
    <w:rPr>
      <w:sz w:val="20"/>
      <w:szCs w:val="20"/>
    </w:rPr>
  </w:style>
  <w:style w:type="character" w:customStyle="1" w:styleId="CommentTextChar">
    <w:name w:val="Comment Text Char"/>
    <w:basedOn w:val="DefaultParagraphFont"/>
    <w:link w:val="CommentText"/>
    <w:uiPriority w:val="99"/>
    <w:semiHidden/>
    <w:rsid w:val="00907353"/>
    <w:rPr>
      <w:sz w:val="20"/>
      <w:szCs w:val="20"/>
    </w:rPr>
  </w:style>
  <w:style w:type="paragraph" w:styleId="CommentSubject">
    <w:name w:val="annotation subject"/>
    <w:basedOn w:val="CommentText"/>
    <w:next w:val="CommentText"/>
    <w:link w:val="CommentSubjectChar"/>
    <w:uiPriority w:val="99"/>
    <w:semiHidden/>
    <w:unhideWhenUsed/>
    <w:rsid w:val="00907353"/>
    <w:rPr>
      <w:b/>
      <w:bCs/>
    </w:rPr>
  </w:style>
  <w:style w:type="character" w:customStyle="1" w:styleId="CommentSubjectChar">
    <w:name w:val="Comment Subject Char"/>
    <w:basedOn w:val="CommentTextChar"/>
    <w:link w:val="CommentSubject"/>
    <w:uiPriority w:val="99"/>
    <w:semiHidden/>
    <w:rsid w:val="00907353"/>
    <w:rPr>
      <w:b/>
      <w:bCs/>
      <w:sz w:val="20"/>
      <w:szCs w:val="20"/>
    </w:rPr>
  </w:style>
  <w:style w:type="paragraph" w:styleId="NormalWeb">
    <w:name w:val="Normal (Web)"/>
    <w:basedOn w:val="Normal"/>
    <w:uiPriority w:val="99"/>
    <w:unhideWhenUsed/>
    <w:rsid w:val="005909C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97E01"/>
    <w:rPr>
      <w:rFonts w:asciiTheme="majorHAnsi" w:eastAsiaTheme="majorEastAsia" w:hAnsiTheme="majorHAnsi" w:cstheme="majorBidi"/>
      <w:color w:val="365F91" w:themeColor="accent1" w:themeShade="BF"/>
      <w:sz w:val="26"/>
      <w:szCs w:val="26"/>
    </w:rPr>
  </w:style>
  <w:style w:type="character" w:styleId="FollowedHyperlink">
    <w:name w:val="FollowedHyperlink"/>
    <w:basedOn w:val="DefaultParagraphFont"/>
    <w:uiPriority w:val="99"/>
    <w:semiHidden/>
    <w:unhideWhenUsed/>
    <w:rsid w:val="004C3C95"/>
    <w:rPr>
      <w:color w:val="800080" w:themeColor="followedHyperlink"/>
      <w:u w:val="single"/>
    </w:rPr>
  </w:style>
  <w:style w:type="paragraph" w:styleId="Revision">
    <w:name w:val="Revision"/>
    <w:hidden/>
    <w:uiPriority w:val="99"/>
    <w:semiHidden/>
    <w:rsid w:val="001801FD"/>
    <w:pPr>
      <w:spacing w:after="0" w:line="240" w:lineRule="auto"/>
    </w:pPr>
  </w:style>
  <w:style w:type="paragraph" w:customStyle="1" w:styleId="para1">
    <w:name w:val="para1"/>
    <w:basedOn w:val="Normal"/>
    <w:uiPriority w:val="99"/>
    <w:rsid w:val="00BD5E8A"/>
    <w:pPr>
      <w:spacing w:after="105" w:line="270" w:lineRule="atLeast"/>
    </w:pPr>
    <w:rPr>
      <w:rFonts w:ascii="Verdana" w:eastAsia="Times New Roman" w:hAnsi="Verdana" w:cs="Times New Roman"/>
      <w:color w:val="4D4D4D"/>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9253074">
      <w:bodyDiv w:val="1"/>
      <w:marLeft w:val="0"/>
      <w:marRight w:val="0"/>
      <w:marTop w:val="0"/>
      <w:marBottom w:val="0"/>
      <w:divBdr>
        <w:top w:val="none" w:sz="0" w:space="0" w:color="auto"/>
        <w:left w:val="none" w:sz="0" w:space="0" w:color="auto"/>
        <w:bottom w:val="none" w:sz="0" w:space="0" w:color="auto"/>
        <w:right w:val="none" w:sz="0" w:space="0" w:color="auto"/>
      </w:divBdr>
    </w:div>
    <w:div w:id="652607548">
      <w:bodyDiv w:val="1"/>
      <w:marLeft w:val="0"/>
      <w:marRight w:val="0"/>
      <w:marTop w:val="0"/>
      <w:marBottom w:val="0"/>
      <w:divBdr>
        <w:top w:val="none" w:sz="0" w:space="0" w:color="auto"/>
        <w:left w:val="none" w:sz="0" w:space="0" w:color="auto"/>
        <w:bottom w:val="none" w:sz="0" w:space="0" w:color="auto"/>
        <w:right w:val="none" w:sz="0" w:space="0" w:color="auto"/>
      </w:divBdr>
    </w:div>
    <w:div w:id="693119138">
      <w:bodyDiv w:val="1"/>
      <w:marLeft w:val="0"/>
      <w:marRight w:val="0"/>
      <w:marTop w:val="0"/>
      <w:marBottom w:val="0"/>
      <w:divBdr>
        <w:top w:val="none" w:sz="0" w:space="0" w:color="auto"/>
        <w:left w:val="none" w:sz="0" w:space="0" w:color="auto"/>
        <w:bottom w:val="none" w:sz="0" w:space="0" w:color="auto"/>
        <w:right w:val="none" w:sz="0" w:space="0" w:color="auto"/>
      </w:divBdr>
    </w:div>
    <w:div w:id="1079403872">
      <w:bodyDiv w:val="1"/>
      <w:marLeft w:val="0"/>
      <w:marRight w:val="0"/>
      <w:marTop w:val="0"/>
      <w:marBottom w:val="0"/>
      <w:divBdr>
        <w:top w:val="none" w:sz="0" w:space="0" w:color="auto"/>
        <w:left w:val="none" w:sz="0" w:space="0" w:color="auto"/>
        <w:bottom w:val="none" w:sz="0" w:space="0" w:color="auto"/>
        <w:right w:val="none" w:sz="0" w:space="0" w:color="auto"/>
      </w:divBdr>
    </w:div>
    <w:div w:id="1143308211">
      <w:bodyDiv w:val="1"/>
      <w:marLeft w:val="0"/>
      <w:marRight w:val="0"/>
      <w:marTop w:val="0"/>
      <w:marBottom w:val="0"/>
      <w:divBdr>
        <w:top w:val="none" w:sz="0" w:space="0" w:color="auto"/>
        <w:left w:val="none" w:sz="0" w:space="0" w:color="auto"/>
        <w:bottom w:val="none" w:sz="0" w:space="0" w:color="auto"/>
        <w:right w:val="none" w:sz="0" w:space="0" w:color="auto"/>
      </w:divBdr>
    </w:div>
    <w:div w:id="2005892275">
      <w:bodyDiv w:val="1"/>
      <w:marLeft w:val="0"/>
      <w:marRight w:val="0"/>
      <w:marTop w:val="0"/>
      <w:marBottom w:val="0"/>
      <w:divBdr>
        <w:top w:val="none" w:sz="0" w:space="0" w:color="auto"/>
        <w:left w:val="none" w:sz="0" w:space="0" w:color="auto"/>
        <w:bottom w:val="none" w:sz="0" w:space="0" w:color="auto"/>
        <w:right w:val="none" w:sz="0" w:space="0" w:color="auto"/>
      </w:divBdr>
    </w:div>
    <w:div w:id="2140755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lianzlife.com/rates" TargetMode="External"/><Relationship Id="rId3" Type="http://schemas.openxmlformats.org/officeDocument/2006/relationships/styles" Target="styles.xml"/><Relationship Id="rId7" Type="http://schemas.openxmlformats.org/officeDocument/2006/relationships/hyperlink" Target="mailto:Distribution_Marketing@allianzlife.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llianz_Ad_Review@allianzlife.com"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5E961E-7CCB-4C67-841D-36F2EA76B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874</Words>
  <Characters>4982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AllianzLife</Company>
  <LinksUpToDate>false</LinksUpToDate>
  <CharactersWithSpaces>5845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 Vornwald</dc:creator>
  <cp:lastModifiedBy>Jeff Ginkel</cp:lastModifiedBy>
  <cp:revision>10</cp:revision>
  <cp:lastPrinted>2019-05-03T18:44:00Z</cp:lastPrinted>
  <dcterms:created xsi:type="dcterms:W3CDTF">2023-08-23T18:55:00Z</dcterms:created>
  <dcterms:modified xsi:type="dcterms:W3CDTF">2023-08-28T14:19:00Z</dcterms:modified>
</cp:coreProperties>
</file>